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3420"/>
      </w:tblGrid>
      <w:tr w:rsidR="00042DBA" w:rsidRPr="00C67F0A" w14:paraId="77C7763E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0E413CD5" w14:textId="64A6C9E6" w:rsidR="00042DBA" w:rsidRPr="00C67F0A" w:rsidRDefault="00343636" w:rsidP="00825E31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CMPE </w:t>
            </w:r>
            <w:r w:rsidR="00825E31">
              <w:rPr>
                <w:b/>
                <w:sz w:val="28"/>
                <w:szCs w:val="28"/>
              </w:rPr>
              <w:t>448 Modern Networking Concepts</w:t>
            </w:r>
          </w:p>
        </w:tc>
      </w:tr>
      <w:tr w:rsidR="00042DBA" w:rsidRPr="00C67F0A" w14:paraId="4463C870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3A101193" w14:textId="77777777" w:rsidR="00042DBA" w:rsidRDefault="00042DBA" w:rsidP="00B14F6A">
            <w:pPr>
              <w:rPr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>Department:</w:t>
            </w:r>
            <w:r w:rsidRPr="00C67F0A">
              <w:rPr>
                <w:sz w:val="20"/>
                <w:szCs w:val="20"/>
              </w:rPr>
              <w:t xml:space="preserve">   </w:t>
            </w:r>
            <w:r w:rsidR="00C4530A" w:rsidRPr="00C67F0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ectrical and Electronic Engineering"/>
                  </w:textInput>
                </w:ffData>
              </w:fldChar>
            </w:r>
            <w:r w:rsidRPr="00C67F0A">
              <w:rPr>
                <w:sz w:val="20"/>
                <w:szCs w:val="20"/>
              </w:rPr>
              <w:instrText xml:space="preserve"> FORMTEXT </w:instrText>
            </w:r>
            <w:r w:rsidR="00C4530A" w:rsidRPr="00C67F0A">
              <w:rPr>
                <w:sz w:val="20"/>
                <w:szCs w:val="20"/>
              </w:rPr>
            </w:r>
            <w:r w:rsidR="00C4530A" w:rsidRPr="00C67F0A">
              <w:rPr>
                <w:sz w:val="20"/>
                <w:szCs w:val="20"/>
              </w:rPr>
              <w:fldChar w:fldCharType="separate"/>
            </w:r>
            <w:r w:rsidRPr="00C67F0A">
              <w:rPr>
                <w:noProof/>
                <w:sz w:val="20"/>
                <w:szCs w:val="20"/>
              </w:rPr>
              <w:t>Computer Engineering</w:t>
            </w:r>
            <w:r w:rsidR="00C4530A" w:rsidRPr="00C67F0A">
              <w:rPr>
                <w:sz w:val="20"/>
                <w:szCs w:val="20"/>
              </w:rPr>
              <w:fldChar w:fldCharType="end"/>
            </w:r>
          </w:p>
          <w:p w14:paraId="157F015B" w14:textId="77777777" w:rsidR="00B14F6A" w:rsidRPr="00C67F0A" w:rsidRDefault="00B14F6A" w:rsidP="00B14F6A">
            <w:pPr>
              <w:rPr>
                <w:sz w:val="20"/>
                <w:szCs w:val="20"/>
              </w:rPr>
            </w:pPr>
          </w:p>
        </w:tc>
      </w:tr>
      <w:tr w:rsidR="002C4C36" w:rsidRPr="00C67F0A" w14:paraId="4166F465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430D5C5C" w14:textId="5E391120" w:rsidR="002C4C36" w:rsidRDefault="002C4C36" w:rsidP="000A6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 Information</w:t>
            </w:r>
            <w:r w:rsidR="001B1025">
              <w:rPr>
                <w:b/>
                <w:sz w:val="20"/>
                <w:szCs w:val="20"/>
              </w:rPr>
              <w:t>:</w:t>
            </w:r>
          </w:p>
          <w:p w14:paraId="729D0FEF" w14:textId="4CD59955" w:rsidR="002C4C36" w:rsidRDefault="002C4C36" w:rsidP="000A68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Name:  </w:t>
            </w:r>
            <w:r w:rsidR="00343636">
              <w:rPr>
                <w:sz w:val="20"/>
                <w:szCs w:val="20"/>
              </w:rPr>
              <w:t>Prof. Dr. Dogu Arifler</w:t>
            </w:r>
          </w:p>
          <w:p w14:paraId="0E792DDA" w14:textId="77777777" w:rsidR="002C4C36" w:rsidRDefault="002C4C36" w:rsidP="000A68F7">
            <w:pPr>
              <w:rPr>
                <w:sz w:val="20"/>
                <w:szCs w:val="20"/>
              </w:rPr>
            </w:pPr>
            <w:r w:rsidRPr="002C4C36">
              <w:rPr>
                <w:b/>
                <w:sz w:val="20"/>
                <w:szCs w:val="20"/>
              </w:rPr>
              <w:t>E-mail:</w:t>
            </w:r>
            <w:r w:rsidR="00343636">
              <w:rPr>
                <w:sz w:val="20"/>
                <w:szCs w:val="20"/>
              </w:rPr>
              <w:t xml:space="preserve"> dogu.arifler</w:t>
            </w:r>
            <w:r>
              <w:rPr>
                <w:sz w:val="20"/>
                <w:szCs w:val="20"/>
              </w:rPr>
              <w:t>@emu.edu.tr</w:t>
            </w:r>
          </w:p>
          <w:p w14:paraId="1D15919B" w14:textId="49769518" w:rsidR="002C4C36" w:rsidRDefault="002C4C36" w:rsidP="000A68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Office: </w:t>
            </w:r>
            <w:r w:rsidR="00343636">
              <w:rPr>
                <w:sz w:val="20"/>
                <w:szCs w:val="20"/>
              </w:rPr>
              <w:t>CMPE 218</w:t>
            </w:r>
            <w:r w:rsidR="0064226B"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Tel: </w:t>
            </w:r>
            <w:r w:rsidR="00343636">
              <w:rPr>
                <w:sz w:val="20"/>
                <w:szCs w:val="20"/>
              </w:rPr>
              <w:t>1192</w:t>
            </w:r>
            <w:r>
              <w:rPr>
                <w:sz w:val="20"/>
                <w:szCs w:val="20"/>
              </w:rPr>
              <w:t xml:space="preserve">                   </w:t>
            </w:r>
          </w:p>
          <w:p w14:paraId="5F7FB59B" w14:textId="77777777" w:rsidR="002C4C36" w:rsidRPr="002C4C36" w:rsidRDefault="002C4C36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2C4C36" w:rsidRPr="00C67F0A" w14:paraId="78C96D97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25BA8E8D" w14:textId="4E52D95B" w:rsidR="002C4C36" w:rsidRDefault="002C4C36" w:rsidP="000A6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Assistant Information</w:t>
            </w:r>
            <w:r w:rsidR="001B1025">
              <w:rPr>
                <w:b/>
                <w:sz w:val="20"/>
                <w:szCs w:val="20"/>
              </w:rPr>
              <w:t>:</w:t>
            </w:r>
          </w:p>
          <w:p w14:paraId="00FB721F" w14:textId="258DC59E" w:rsidR="002C4C36" w:rsidRDefault="00825E31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John Olaifa</w:t>
            </w:r>
          </w:p>
          <w:p w14:paraId="4955B9E5" w14:textId="77777777" w:rsidR="002C4C36" w:rsidRPr="002C4C36" w:rsidRDefault="002C4C36" w:rsidP="000A68F7">
            <w:pPr>
              <w:rPr>
                <w:sz w:val="20"/>
                <w:szCs w:val="20"/>
              </w:rPr>
            </w:pPr>
          </w:p>
        </w:tc>
      </w:tr>
      <w:tr w:rsidR="002C4C36" w:rsidRPr="00C67F0A" w14:paraId="2475C1AC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627E38A2" w14:textId="25645EBC" w:rsidR="002C4C36" w:rsidRDefault="00825E31" w:rsidP="000A6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Times and P</w:t>
            </w:r>
            <w:r w:rsidR="002C4C36">
              <w:rPr>
                <w:b/>
                <w:sz w:val="20"/>
                <w:szCs w:val="20"/>
              </w:rPr>
              <w:t>laces</w:t>
            </w:r>
            <w:r>
              <w:rPr>
                <w:b/>
                <w:sz w:val="20"/>
                <w:szCs w:val="20"/>
              </w:rPr>
              <w:t>:</w:t>
            </w:r>
          </w:p>
          <w:p w14:paraId="1F4F8595" w14:textId="12DCC571" w:rsidR="002C4C36" w:rsidRDefault="00825E31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4226B">
              <w:rPr>
                <w:sz w:val="20"/>
                <w:szCs w:val="20"/>
              </w:rPr>
              <w:t>sdays 8:30-10:30, Room CMPE 126</w:t>
            </w:r>
          </w:p>
          <w:p w14:paraId="48C459BA" w14:textId="23A4491D" w:rsidR="00B14F6A" w:rsidRDefault="00825E31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4226B">
              <w:rPr>
                <w:sz w:val="20"/>
                <w:szCs w:val="20"/>
              </w:rPr>
              <w:t>sdays 12:30-14:30, Room CMPE 126</w:t>
            </w:r>
          </w:p>
          <w:p w14:paraId="2FB3220B" w14:textId="6D0C9505" w:rsidR="00B14F6A" w:rsidRDefault="0064226B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Fridays 12:30-14:30, Lab CMPE 135</w:t>
            </w:r>
          </w:p>
          <w:p w14:paraId="062DC1F0" w14:textId="77777777" w:rsidR="00B14F6A" w:rsidRPr="002C4C36" w:rsidRDefault="00B14F6A" w:rsidP="000A68F7">
            <w:pPr>
              <w:rPr>
                <w:sz w:val="20"/>
                <w:szCs w:val="20"/>
              </w:rPr>
            </w:pPr>
          </w:p>
        </w:tc>
      </w:tr>
      <w:tr w:rsidR="00042DBA" w:rsidRPr="00C67F0A" w14:paraId="6FCE68F7" w14:textId="77777777" w:rsidTr="00885D0A">
        <w:trPr>
          <w:trHeight w:val="499"/>
        </w:trPr>
        <w:tc>
          <w:tcPr>
            <w:tcW w:w="4338" w:type="dxa"/>
            <w:gridSpan w:val="2"/>
            <w:noWrap/>
            <w:vAlign w:val="center"/>
          </w:tcPr>
          <w:p w14:paraId="5493A0C6" w14:textId="77777777" w:rsidR="00042DBA" w:rsidRDefault="00042DBA" w:rsidP="000A68F7">
            <w:pPr>
              <w:rPr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 xml:space="preserve">Program </w:t>
            </w:r>
            <w:r w:rsidRPr="00B14F6A">
              <w:rPr>
                <w:b/>
                <w:bCs/>
                <w:sz w:val="20"/>
                <w:szCs w:val="20"/>
              </w:rPr>
              <w:t>Name</w:t>
            </w:r>
            <w:r w:rsidRPr="00C67F0A">
              <w:rPr>
                <w:b/>
                <w:sz w:val="20"/>
                <w:szCs w:val="20"/>
              </w:rPr>
              <w:t xml:space="preserve">:    </w:t>
            </w:r>
            <w:r w:rsidR="00C4530A" w:rsidRPr="00C67F0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tions System Engineering"/>
                  </w:textInput>
                </w:ffData>
              </w:fldChar>
            </w:r>
            <w:r w:rsidRPr="00C67F0A">
              <w:rPr>
                <w:sz w:val="20"/>
                <w:szCs w:val="20"/>
              </w:rPr>
              <w:instrText xml:space="preserve"> FORMTEXT </w:instrText>
            </w:r>
            <w:r w:rsidR="00C4530A" w:rsidRPr="00C67F0A">
              <w:rPr>
                <w:sz w:val="20"/>
                <w:szCs w:val="20"/>
              </w:rPr>
            </w:r>
            <w:r w:rsidR="00C4530A" w:rsidRPr="00C67F0A">
              <w:rPr>
                <w:sz w:val="20"/>
                <w:szCs w:val="20"/>
              </w:rPr>
              <w:fldChar w:fldCharType="separate"/>
            </w:r>
            <w:r w:rsidRPr="00C67F0A">
              <w:rPr>
                <w:noProof/>
                <w:sz w:val="20"/>
                <w:szCs w:val="20"/>
              </w:rPr>
              <w:t>Computer Engineering</w:t>
            </w:r>
            <w:r w:rsidR="00C4530A" w:rsidRPr="00C67F0A">
              <w:rPr>
                <w:sz w:val="20"/>
                <w:szCs w:val="20"/>
              </w:rPr>
              <w:fldChar w:fldCharType="end"/>
            </w:r>
          </w:p>
          <w:p w14:paraId="3E8BBC19" w14:textId="77777777" w:rsidR="002C4C36" w:rsidRPr="00C67F0A" w:rsidRDefault="002C4C36" w:rsidP="000A68F7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14:paraId="11BBE1B4" w14:textId="77777777" w:rsidR="00042DBA" w:rsidRPr="00C67F0A" w:rsidRDefault="00042DBA" w:rsidP="00B14F6A">
            <w:pPr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Program</w:t>
            </w:r>
            <w:r w:rsidRPr="00C67F0A">
              <w:rPr>
                <w:sz w:val="20"/>
                <w:szCs w:val="20"/>
              </w:rPr>
              <w:t xml:space="preserve"> </w:t>
            </w:r>
            <w:r w:rsidRPr="00C67F0A">
              <w:rPr>
                <w:b/>
                <w:sz w:val="20"/>
                <w:szCs w:val="20"/>
              </w:rPr>
              <w:t>Code:</w:t>
            </w:r>
            <w:r w:rsidRPr="00C67F0A">
              <w:rPr>
                <w:sz w:val="20"/>
                <w:szCs w:val="20"/>
              </w:rPr>
              <w:t xml:space="preserve"> </w:t>
            </w:r>
            <w:r w:rsidR="00C4530A" w:rsidRPr="00C67F0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8"/>
                  </w:textInput>
                </w:ffData>
              </w:fldChar>
            </w:r>
            <w:r w:rsidRPr="00C67F0A">
              <w:rPr>
                <w:sz w:val="20"/>
                <w:szCs w:val="20"/>
              </w:rPr>
              <w:instrText xml:space="preserve"> FORMTEXT </w:instrText>
            </w:r>
            <w:r w:rsidR="00C4530A" w:rsidRPr="00C67F0A">
              <w:rPr>
                <w:sz w:val="20"/>
                <w:szCs w:val="20"/>
              </w:rPr>
            </w:r>
            <w:r w:rsidR="00C4530A" w:rsidRPr="00C67F0A">
              <w:rPr>
                <w:sz w:val="20"/>
                <w:szCs w:val="20"/>
              </w:rPr>
              <w:fldChar w:fldCharType="separate"/>
            </w:r>
            <w:r w:rsidRPr="00C67F0A">
              <w:rPr>
                <w:noProof/>
                <w:sz w:val="20"/>
                <w:szCs w:val="20"/>
              </w:rPr>
              <w:t>25</w:t>
            </w:r>
            <w:r w:rsidR="00C4530A" w:rsidRPr="00C67F0A">
              <w:rPr>
                <w:sz w:val="20"/>
                <w:szCs w:val="20"/>
              </w:rPr>
              <w:fldChar w:fldCharType="end"/>
            </w:r>
          </w:p>
        </w:tc>
      </w:tr>
      <w:tr w:rsidR="00042DBA" w:rsidRPr="00C67F0A" w14:paraId="419AC95A" w14:textId="77777777" w:rsidTr="000A68F7">
        <w:trPr>
          <w:trHeight w:val="512"/>
        </w:trPr>
        <w:tc>
          <w:tcPr>
            <w:tcW w:w="2808" w:type="dxa"/>
            <w:noWrap/>
          </w:tcPr>
          <w:p w14:paraId="5C9DBCDF" w14:textId="1ADE3D8D" w:rsidR="00042DBA" w:rsidRPr="00C67F0A" w:rsidRDefault="00042DBA" w:rsidP="000A68F7">
            <w:pPr>
              <w:rPr>
                <w:b/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 xml:space="preserve">Course </w:t>
            </w:r>
            <w:r w:rsidR="00885D0A">
              <w:rPr>
                <w:b/>
                <w:sz w:val="20"/>
                <w:szCs w:val="20"/>
              </w:rPr>
              <w:t>Code</w:t>
            </w:r>
            <w:r w:rsidRPr="00C67F0A">
              <w:rPr>
                <w:b/>
                <w:sz w:val="20"/>
                <w:szCs w:val="20"/>
              </w:rPr>
              <w:t xml:space="preserve">:  </w:t>
            </w:r>
          </w:p>
          <w:p w14:paraId="2A639BA4" w14:textId="34A9620A" w:rsidR="00042DBA" w:rsidRPr="00C67F0A" w:rsidRDefault="00042DBA" w:rsidP="000A68F7">
            <w:pPr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 xml:space="preserve">CMPE </w:t>
            </w:r>
            <w:r w:rsidR="00825E31">
              <w:rPr>
                <w:sz w:val="20"/>
                <w:szCs w:val="20"/>
              </w:rPr>
              <w:t>448</w:t>
            </w:r>
          </w:p>
        </w:tc>
        <w:tc>
          <w:tcPr>
            <w:tcW w:w="3420" w:type="dxa"/>
            <w:gridSpan w:val="2"/>
          </w:tcPr>
          <w:p w14:paraId="4A56BA3E" w14:textId="77777777" w:rsidR="00042DBA" w:rsidRPr="00C67F0A" w:rsidRDefault="00042DBA" w:rsidP="000A68F7">
            <w:pPr>
              <w:rPr>
                <w:b/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 xml:space="preserve">Credits:                                          </w:t>
            </w:r>
          </w:p>
          <w:p w14:paraId="7C33CA4A" w14:textId="55A19CC6" w:rsidR="00042DBA" w:rsidRPr="00C67F0A" w:rsidRDefault="0054773B" w:rsidP="000A68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69E47D0E" w14:textId="77777777" w:rsidR="00042DBA" w:rsidRPr="00C67F0A" w:rsidRDefault="00042DBA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Year/Semester:</w:t>
            </w:r>
          </w:p>
          <w:p w14:paraId="7D9E6BCE" w14:textId="05629E36" w:rsidR="00042DBA" w:rsidRPr="00C67F0A" w:rsidRDefault="00B21331" w:rsidP="00EB797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  <w:r w:rsidR="00042DBA" w:rsidRPr="00C67F0A">
              <w:rPr>
                <w:sz w:val="20"/>
                <w:szCs w:val="20"/>
              </w:rPr>
              <w:t xml:space="preserve">    </w:t>
            </w:r>
            <w:r w:rsidR="00EB7977">
              <w:rPr>
                <w:sz w:val="20"/>
                <w:szCs w:val="20"/>
              </w:rPr>
              <w:t>Fall</w:t>
            </w:r>
          </w:p>
        </w:tc>
      </w:tr>
      <w:tr w:rsidR="00042DBA" w:rsidRPr="00C67F0A" w14:paraId="1DA559F6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6A2B63ED" w14:textId="790DED48" w:rsidR="00042DBA" w:rsidRPr="00C67F0A" w:rsidRDefault="001875CC" w:rsidP="0018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64226B">
              <w:rPr>
                <w:sz w:val="20"/>
                <w:szCs w:val="20"/>
              </w:rPr>
            </w:r>
            <w:r w:rsidR="006422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042DBA" w:rsidRPr="00C67F0A">
              <w:rPr>
                <w:sz w:val="20"/>
                <w:szCs w:val="20"/>
              </w:rPr>
              <w:t xml:space="preserve">  Required Course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64226B">
              <w:rPr>
                <w:sz w:val="20"/>
                <w:szCs w:val="20"/>
              </w:rPr>
            </w:r>
            <w:r w:rsidR="006422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042DBA" w:rsidRPr="00C67F0A">
              <w:rPr>
                <w:sz w:val="20"/>
                <w:szCs w:val="20"/>
              </w:rPr>
              <w:t xml:space="preserve">  Elective Course       (click on and check the appropriate box) </w:t>
            </w:r>
          </w:p>
        </w:tc>
      </w:tr>
      <w:tr w:rsidR="00042DBA" w:rsidRPr="00C67F0A" w14:paraId="2B93945C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6B78E431" w14:textId="77777777" w:rsidR="00042DBA" w:rsidRPr="00C67F0A" w:rsidRDefault="00042DBA" w:rsidP="000A68F7">
            <w:pPr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Prerequisite(s):</w:t>
            </w:r>
            <w:r w:rsidRPr="00C67F0A">
              <w:rPr>
                <w:sz w:val="20"/>
                <w:szCs w:val="20"/>
              </w:rPr>
              <w:t xml:space="preserve"> </w:t>
            </w:r>
          </w:p>
          <w:p w14:paraId="17D723FD" w14:textId="10B30ADF" w:rsidR="00042DBA" w:rsidRPr="00C67F0A" w:rsidRDefault="00343636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CMPE </w:t>
            </w:r>
            <w:r w:rsidR="00825E31">
              <w:rPr>
                <w:sz w:val="20"/>
                <w:szCs w:val="20"/>
              </w:rPr>
              <w:t>344 Computer Networks</w:t>
            </w:r>
          </w:p>
          <w:p w14:paraId="338C61E0" w14:textId="77777777" w:rsidR="00042DBA" w:rsidRPr="00C67F0A" w:rsidRDefault="00042DBA" w:rsidP="000A68F7">
            <w:pPr>
              <w:rPr>
                <w:sz w:val="20"/>
                <w:szCs w:val="20"/>
              </w:rPr>
            </w:pPr>
          </w:p>
        </w:tc>
      </w:tr>
      <w:tr w:rsidR="00042DBA" w:rsidRPr="00C67F0A" w14:paraId="5AD076F1" w14:textId="77777777" w:rsidTr="000A68F7">
        <w:trPr>
          <w:trHeight w:val="307"/>
        </w:trPr>
        <w:tc>
          <w:tcPr>
            <w:tcW w:w="9648" w:type="dxa"/>
            <w:gridSpan w:val="4"/>
            <w:noWrap/>
            <w:vAlign w:val="center"/>
          </w:tcPr>
          <w:p w14:paraId="57AF59EC" w14:textId="77777777" w:rsidR="00042DBA" w:rsidRPr="00C67F0A" w:rsidRDefault="00042DBA" w:rsidP="000A68F7">
            <w:pPr>
              <w:ind w:left="1800" w:hanging="1800"/>
              <w:jc w:val="both"/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Catalog Description</w:t>
            </w:r>
            <w:r w:rsidRPr="00C67F0A">
              <w:rPr>
                <w:sz w:val="20"/>
                <w:szCs w:val="20"/>
              </w:rPr>
              <w:t xml:space="preserve">: </w:t>
            </w:r>
          </w:p>
          <w:p w14:paraId="7F1565F1" w14:textId="77777777" w:rsidR="0054773B" w:rsidRDefault="00825E31" w:rsidP="00464C80">
            <w:pPr>
              <w:rPr>
                <w:sz w:val="20"/>
                <w:szCs w:val="20"/>
              </w:rPr>
            </w:pPr>
            <w:r w:rsidRPr="00825E31">
              <w:rPr>
                <w:sz w:val="20"/>
                <w:szCs w:val="20"/>
              </w:rPr>
              <w:t xml:space="preserve">Recent trends and topics that form the foundations of modern networking. Topics include but are not limited to software-defined networking (SDN), network functions virtualization (NFV), data centers, cloud networking, Internet of Things (IoT), quality of service (QoS) and quality of experience (QoE) to define and support user needs. </w:t>
            </w:r>
          </w:p>
          <w:p w14:paraId="7D199E07" w14:textId="00B01B56" w:rsidR="00825E31" w:rsidRPr="00C67F0A" w:rsidRDefault="00825E31" w:rsidP="00464C80">
            <w:pPr>
              <w:rPr>
                <w:sz w:val="20"/>
                <w:szCs w:val="20"/>
              </w:rPr>
            </w:pPr>
          </w:p>
        </w:tc>
      </w:tr>
      <w:tr w:rsidR="00042DBA" w:rsidRPr="00C67F0A" w14:paraId="38884293" w14:textId="77777777" w:rsidTr="000A68F7">
        <w:trPr>
          <w:trHeight w:val="557"/>
        </w:trPr>
        <w:tc>
          <w:tcPr>
            <w:tcW w:w="9648" w:type="dxa"/>
            <w:gridSpan w:val="4"/>
            <w:noWrap/>
            <w:vAlign w:val="center"/>
          </w:tcPr>
          <w:p w14:paraId="0A6FD3E5" w14:textId="77777777" w:rsidR="00042DBA" w:rsidRPr="00C67F0A" w:rsidRDefault="00042DBA" w:rsidP="000A68F7">
            <w:pPr>
              <w:jc w:val="both"/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Course Web Page:  </w:t>
            </w:r>
          </w:p>
          <w:p w14:paraId="4C9E1C6B" w14:textId="328EA533" w:rsidR="00042DBA" w:rsidRDefault="00A545AE" w:rsidP="000A68F7">
            <w:pPr>
              <w:jc w:val="both"/>
              <w:rPr>
                <w:sz w:val="20"/>
                <w:szCs w:val="20"/>
              </w:rPr>
            </w:pPr>
            <w:r w:rsidRPr="00A545AE">
              <w:rPr>
                <w:sz w:val="20"/>
                <w:szCs w:val="20"/>
              </w:rPr>
              <w:t>https://staff.emu.edu.tr/doguari</w:t>
            </w:r>
            <w:r w:rsidR="00825E31">
              <w:rPr>
                <w:sz w:val="20"/>
                <w:szCs w:val="20"/>
              </w:rPr>
              <w:t>fler/en/teaching/cmpe448</w:t>
            </w:r>
          </w:p>
          <w:p w14:paraId="2449A694" w14:textId="71545DC4" w:rsidR="00A545AE" w:rsidRPr="00C67F0A" w:rsidRDefault="00A545AE" w:rsidP="000A68F7">
            <w:pPr>
              <w:jc w:val="both"/>
              <w:rPr>
                <w:sz w:val="20"/>
                <w:szCs w:val="20"/>
              </w:rPr>
            </w:pPr>
          </w:p>
        </w:tc>
      </w:tr>
      <w:tr w:rsidR="00042DBA" w:rsidRPr="00C67F0A" w14:paraId="175DDF85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5E6ECDD4" w14:textId="77777777" w:rsidR="00042DBA" w:rsidRPr="00C67F0A" w:rsidRDefault="00042DBA" w:rsidP="000A68F7">
            <w:pPr>
              <w:rPr>
                <w:b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Textbook(s):</w:t>
            </w:r>
            <w:r w:rsidRPr="00C67F0A">
              <w:rPr>
                <w:b/>
                <w:sz w:val="20"/>
                <w:szCs w:val="20"/>
              </w:rPr>
              <w:t xml:space="preserve">  </w:t>
            </w:r>
          </w:p>
          <w:p w14:paraId="5E714B6C" w14:textId="77777777" w:rsidR="00825E31" w:rsidRPr="00C67F0A" w:rsidRDefault="00825E31" w:rsidP="00825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Stallings, </w:t>
            </w:r>
            <w:r w:rsidRPr="0068719C">
              <w:rPr>
                <w:i/>
                <w:sz w:val="20"/>
                <w:szCs w:val="20"/>
              </w:rPr>
              <w:t>Foundations of Modern Networking: SDN, NFV, QoE, IoT, and Cloud</w:t>
            </w:r>
            <w:r>
              <w:rPr>
                <w:sz w:val="20"/>
                <w:szCs w:val="20"/>
              </w:rPr>
              <w:t>, Pearson, 2016</w:t>
            </w:r>
          </w:p>
          <w:p w14:paraId="00C16C21" w14:textId="77777777" w:rsidR="00042DBA" w:rsidRPr="00C67F0A" w:rsidRDefault="00042DBA" w:rsidP="000A68F7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42DBA" w:rsidRPr="00C67F0A" w14:paraId="7EF2E06F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0754A745" w14:textId="5322197F" w:rsidR="00042DBA" w:rsidRPr="00C67F0A" w:rsidRDefault="001B1025" w:rsidP="000A68F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Indicative Basic Reading List</w:t>
            </w:r>
            <w:r w:rsidR="00042DBA" w:rsidRPr="00C67F0A">
              <w:rPr>
                <w:b/>
                <w:bCs/>
                <w:sz w:val="20"/>
                <w:szCs w:val="20"/>
              </w:rPr>
              <w:t>:</w:t>
            </w:r>
          </w:p>
          <w:p w14:paraId="3C6C2E15" w14:textId="045611CD" w:rsidR="00042DBA" w:rsidRDefault="00825E31" w:rsidP="0088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3835B1CD" w14:textId="12C2DF51" w:rsidR="00A545AE" w:rsidRPr="00343636" w:rsidRDefault="00A545AE" w:rsidP="00885D0A">
            <w:pPr>
              <w:rPr>
                <w:sz w:val="20"/>
                <w:szCs w:val="20"/>
              </w:rPr>
            </w:pPr>
          </w:p>
        </w:tc>
      </w:tr>
      <w:tr w:rsidR="00042DBA" w:rsidRPr="00C67F0A" w14:paraId="6BFB2EBB" w14:textId="77777777" w:rsidTr="000A68F7">
        <w:trPr>
          <w:trHeight w:val="747"/>
        </w:trPr>
        <w:tc>
          <w:tcPr>
            <w:tcW w:w="9648" w:type="dxa"/>
            <w:gridSpan w:val="4"/>
            <w:noWrap/>
            <w:vAlign w:val="center"/>
          </w:tcPr>
          <w:p w14:paraId="4698EFCB" w14:textId="77777777" w:rsidR="00042DBA" w:rsidRPr="00C67F0A" w:rsidRDefault="00042DBA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Topics Covered and Class Schedule:</w:t>
            </w:r>
          </w:p>
          <w:p w14:paraId="7434271E" w14:textId="77777777" w:rsidR="00042DBA" w:rsidRPr="00C67F0A" w:rsidRDefault="00042DBA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(4 hours of lectures per week)</w:t>
            </w:r>
          </w:p>
          <w:p w14:paraId="0FCDAB14" w14:textId="77777777" w:rsidR="00042DBA" w:rsidRPr="00C67F0A" w:rsidRDefault="00042DBA" w:rsidP="000A68F7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89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7732"/>
            </w:tblGrid>
            <w:tr w:rsidR="00343636" w:rsidRPr="00C67F0A" w14:paraId="6863F0BE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28D76F" w14:textId="77777777" w:rsidR="00343636" w:rsidRPr="00C67F0A" w:rsidRDefault="00343636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</w:t>
                  </w:r>
                  <w:r w:rsidRPr="00C67F0A">
                    <w:rPr>
                      <w:b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DDADDF" w14:textId="6F8DCC16" w:rsidR="00343636" w:rsidRPr="00C67F0A" w:rsidRDefault="001875CC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 overview of traditional networking concepts; evolving network requirements</w:t>
                  </w:r>
                </w:p>
              </w:tc>
            </w:tr>
            <w:tr w:rsidR="00343636" w:rsidRPr="00C67F0A" w14:paraId="28AD86CB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1793B8" w14:textId="1127537C" w:rsidR="00343636" w:rsidRPr="00C67F0A" w:rsidRDefault="00343636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2</w:t>
                  </w:r>
                  <w:r w:rsidRPr="00C67F0A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8AECDB" w14:textId="07ED9280" w:rsidR="00343636" w:rsidRPr="00C67F0A" w:rsidRDefault="001875CC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glimpse at recent trends: “Big data”, cloud computing, IoT, mobility</w:t>
                  </w:r>
                </w:p>
              </w:tc>
            </w:tr>
            <w:tr w:rsidR="001875CC" w:rsidRPr="00C67F0A" w14:paraId="388E9485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74DBA7" w14:textId="50E47A53" w:rsidR="001875CC" w:rsidRDefault="001875CC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1B761B" w14:textId="00F81322" w:rsidR="001875CC" w:rsidRDefault="001875CC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Gigabit networks; 4G/5G; service and security requirements</w:t>
                  </w:r>
                </w:p>
              </w:tc>
            </w:tr>
            <w:tr w:rsidR="00343636" w:rsidRPr="00C67F0A" w14:paraId="5DDE0955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18EFB1" w14:textId="74CEE6B1" w:rsidR="00343636" w:rsidRPr="00C67F0A" w:rsidRDefault="00A545AE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</w:t>
                  </w:r>
                  <w:r w:rsidR="009C6DD5">
                    <w:rPr>
                      <w:b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B019E3" w14:textId="1C1998B9" w:rsidR="00343636" w:rsidRPr="00C67F0A" w:rsidRDefault="001875CC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SDN: Architecture</w:t>
                  </w:r>
                </w:p>
              </w:tc>
            </w:tr>
            <w:tr w:rsidR="00A545AE" w:rsidRPr="00C67F0A" w14:paraId="1E3CC412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F18D91" w14:textId="52D15C38" w:rsidR="00A545AE" w:rsidRDefault="001875CC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D0FB12" w14:textId="15828B85" w:rsidR="00A545AE" w:rsidRPr="00C67F0A" w:rsidRDefault="001875CC" w:rsidP="009559F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SDN: Data center networking; big data over SDN, cloud networking over SDN</w:t>
                  </w:r>
                </w:p>
              </w:tc>
            </w:tr>
            <w:tr w:rsidR="001875CC" w:rsidRPr="00C67F0A" w14:paraId="26DB59EA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5D0899" w14:textId="45D9C8D7" w:rsidR="001875CC" w:rsidRDefault="001875CC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1FBE7B" w14:textId="65F6A7F7" w:rsidR="001875CC" w:rsidRDefault="001875CC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NFV: Architectural issues; virtual machines; server migration; load balancing</w:t>
                  </w:r>
                </w:p>
              </w:tc>
            </w:tr>
            <w:tr w:rsidR="00343636" w:rsidRPr="00151368" w14:paraId="7ACC71A0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18E310" w14:textId="5CC173D7" w:rsidR="00343636" w:rsidRPr="00C67F0A" w:rsidRDefault="00A545AE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Week </w:t>
                  </w:r>
                  <w:r w:rsidR="009C6DD5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CBA6D8" w14:textId="55D37AF3" w:rsidR="00343636" w:rsidRPr="00151368" w:rsidRDefault="001875CC" w:rsidP="009559F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NFV: Relationship with SDN; dealing with “big data” and implementing cloud computing infrastructures</w:t>
                  </w:r>
                </w:p>
              </w:tc>
            </w:tr>
            <w:tr w:rsidR="00A545AE" w:rsidRPr="00C67F0A" w14:paraId="64896D27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049171" w14:textId="28888BBB" w:rsidR="00A545AE" w:rsidRDefault="00B21331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Weeks 8</w:t>
                  </w:r>
                  <w:r w:rsidR="00A545AE">
                    <w:rPr>
                      <w:b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4C91FE" w14:textId="7007F8DF" w:rsidR="00A545AE" w:rsidRDefault="00A545AE" w:rsidP="009559F1">
                  <w:pPr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MIDTERMS</w:t>
                  </w:r>
                </w:p>
              </w:tc>
            </w:tr>
            <w:tr w:rsidR="00343636" w:rsidRPr="00C67F0A" w14:paraId="188C77B4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8FA9EB" w14:textId="72A91954" w:rsidR="00343636" w:rsidRPr="00C67F0A" w:rsidRDefault="00343636" w:rsidP="009559F1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b/>
                      <w:sz w:val="20"/>
                      <w:szCs w:val="20"/>
                    </w:rPr>
                    <w:t xml:space="preserve">Week 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B21331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76A45E" w14:textId="0DB0CE04" w:rsidR="00343636" w:rsidRPr="00A545AE" w:rsidRDefault="001875CC" w:rsidP="009559F1">
                  <w:pPr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Key concepts of the Integrated Services Architecture; quality of service (QoS)</w:t>
                  </w:r>
                </w:p>
              </w:tc>
            </w:tr>
            <w:tr w:rsidR="001875CC" w:rsidRPr="00C67F0A" w14:paraId="59D31592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412174" w14:textId="42A43E2D" w:rsidR="001875CC" w:rsidRPr="00A545AE" w:rsidRDefault="00B21331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11</w:t>
                  </w:r>
                  <w:r w:rsidR="001875C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3CE2BC" w14:textId="07CFE92C" w:rsidR="001875CC" w:rsidRPr="00A545AE" w:rsidRDefault="001875CC" w:rsidP="009559F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Elastic vs. inelastic traffic, DiffServ, service-level agreements, IP performance metrics</w:t>
                  </w:r>
                </w:p>
              </w:tc>
            </w:tr>
            <w:tr w:rsidR="00A545AE" w:rsidRPr="00C67F0A" w14:paraId="3FCB9167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4E1DFA" w14:textId="32A1F069" w:rsidR="00A545AE" w:rsidRDefault="00A545AE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1</w:t>
                  </w:r>
                  <w:r w:rsidR="00B21331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E0DEAF" w14:textId="54EB07D5" w:rsidR="00A545AE" w:rsidRPr="00F01F5E" w:rsidRDefault="001875CC" w:rsidP="009559F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Quality of experience (QoE); subjective and objective assessment; QoE/QoS mappings</w:t>
                  </w:r>
                </w:p>
              </w:tc>
            </w:tr>
            <w:tr w:rsidR="00343636" w:rsidRPr="00C67F0A" w14:paraId="340A5F1F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A74CC6" w14:textId="4EAE9595" w:rsidR="00A545AE" w:rsidRPr="00C67F0A" w:rsidRDefault="00B21331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13-14</w:t>
                  </w:r>
                  <w:bookmarkStart w:id="2" w:name="_GoBack"/>
                  <w:bookmarkEnd w:id="2"/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4EC5E3" w14:textId="7947B318" w:rsidR="00343636" w:rsidRPr="00C67F0A" w:rsidRDefault="001875CC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Cloud computing: deployment mode</w:t>
                  </w:r>
                  <w:r w:rsidR="0064226B">
                    <w:rPr>
                      <w:sz w:val="20"/>
                      <w:szCs w:val="20"/>
                    </w:rPr>
                    <w:t>ls; relevance of SDN and NFV</w:t>
                  </w:r>
                </w:p>
              </w:tc>
            </w:tr>
            <w:tr w:rsidR="0064226B" w:rsidRPr="00C67F0A" w14:paraId="79323DB7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3FA868" w14:textId="6E434A6B" w:rsidR="0064226B" w:rsidRDefault="0064226B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1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2C7932" w14:textId="08244B7B" w:rsidR="0064226B" w:rsidRDefault="0064226B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Fog computing or IoT; applications</w:t>
                  </w:r>
                </w:p>
              </w:tc>
            </w:tr>
          </w:tbl>
          <w:p w14:paraId="0CEFF0F2" w14:textId="77777777" w:rsidR="00042DBA" w:rsidRPr="00C67F0A" w:rsidRDefault="00042DBA" w:rsidP="000A68F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E3CAC54" w14:textId="77777777" w:rsidR="00327E9F" w:rsidRDefault="00327E9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430"/>
        <w:gridCol w:w="1026"/>
        <w:gridCol w:w="954"/>
        <w:gridCol w:w="3870"/>
      </w:tblGrid>
      <w:tr w:rsidR="007D1E5F" w:rsidRPr="00C67F0A" w14:paraId="6E127174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18ABD7AD" w14:textId="0EF35D31" w:rsidR="007D1E5F" w:rsidRDefault="00825E31" w:rsidP="000A6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</w:t>
            </w:r>
            <w:r w:rsidR="007D1E5F" w:rsidRPr="00C67F0A">
              <w:rPr>
                <w:b/>
                <w:bCs/>
                <w:sz w:val="20"/>
                <w:szCs w:val="20"/>
              </w:rPr>
              <w:t xml:space="preserve"> Schedule:</w:t>
            </w:r>
          </w:p>
          <w:p w14:paraId="720607CC" w14:textId="4CA90F1F" w:rsidR="002F12F8" w:rsidRPr="002F12F8" w:rsidRDefault="002F12F8" w:rsidP="000A68F7">
            <w:pPr>
              <w:rPr>
                <w:bCs/>
                <w:i/>
                <w:sz w:val="20"/>
                <w:szCs w:val="20"/>
              </w:rPr>
            </w:pPr>
            <w:r w:rsidRPr="002F12F8">
              <w:rPr>
                <w:bCs/>
                <w:i/>
                <w:sz w:val="20"/>
                <w:szCs w:val="20"/>
              </w:rPr>
              <w:t>Please refer to the cour</w:t>
            </w:r>
            <w:r w:rsidR="00825E31">
              <w:rPr>
                <w:bCs/>
                <w:i/>
                <w:sz w:val="20"/>
                <w:szCs w:val="20"/>
              </w:rPr>
              <w:t>se Web site for assigned labs.</w:t>
            </w:r>
          </w:p>
          <w:p w14:paraId="137DD46D" w14:textId="5DA6193D" w:rsidR="00404527" w:rsidRPr="00EF4FDC" w:rsidRDefault="00825E31" w:rsidP="0040452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1: 18</w:t>
            </w:r>
            <w:r w:rsidR="00AC3432" w:rsidRPr="00EF4FDC">
              <w:rPr>
                <w:sz w:val="20"/>
                <w:szCs w:val="20"/>
              </w:rPr>
              <w:t xml:space="preserve"> October</w:t>
            </w:r>
          </w:p>
          <w:p w14:paraId="5D4B2580" w14:textId="04BC5741" w:rsidR="00404527" w:rsidRPr="00EF4FDC" w:rsidRDefault="00825E31" w:rsidP="0040452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2: 1</w:t>
            </w:r>
            <w:r w:rsidR="00B25997" w:rsidRPr="00EF4FDC">
              <w:rPr>
                <w:sz w:val="20"/>
                <w:szCs w:val="20"/>
              </w:rPr>
              <w:t xml:space="preserve"> Novem</w:t>
            </w:r>
            <w:r w:rsidR="00AC3432" w:rsidRPr="00EF4FDC">
              <w:rPr>
                <w:sz w:val="20"/>
                <w:szCs w:val="20"/>
              </w:rPr>
              <w:t>ber</w:t>
            </w:r>
          </w:p>
          <w:p w14:paraId="5EAEB89B" w14:textId="72FC0CD4" w:rsidR="00C15456" w:rsidRPr="00EF4FDC" w:rsidRDefault="00825E31" w:rsidP="00C154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3: 8</w:t>
            </w:r>
            <w:r w:rsidR="00AC3432" w:rsidRPr="00EF4FDC">
              <w:rPr>
                <w:sz w:val="20"/>
                <w:szCs w:val="20"/>
              </w:rPr>
              <w:t xml:space="preserve"> November</w:t>
            </w:r>
          </w:p>
          <w:p w14:paraId="0C40B027" w14:textId="0897663B" w:rsidR="00404527" w:rsidRPr="00EF4FDC" w:rsidRDefault="0064226B" w:rsidP="00C154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4: 6</w:t>
            </w:r>
            <w:r w:rsidR="00AC3432" w:rsidRPr="00EF4FDC">
              <w:rPr>
                <w:sz w:val="20"/>
                <w:szCs w:val="20"/>
              </w:rPr>
              <w:t xml:space="preserve"> December</w:t>
            </w:r>
          </w:p>
          <w:p w14:paraId="41943718" w14:textId="2DE6FE7E" w:rsidR="00AC3432" w:rsidRPr="00825E31" w:rsidRDefault="00825E31" w:rsidP="00825E3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5: 20</w:t>
            </w:r>
            <w:r w:rsidR="00AC3432" w:rsidRPr="00EF4FDC">
              <w:rPr>
                <w:sz w:val="20"/>
                <w:szCs w:val="20"/>
              </w:rPr>
              <w:t xml:space="preserve"> December</w:t>
            </w:r>
          </w:p>
        </w:tc>
      </w:tr>
      <w:tr w:rsidR="007D1E5F" w:rsidRPr="00C67F0A" w14:paraId="27E5F404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549751E5" w14:textId="77777777" w:rsidR="007D1E5F" w:rsidRPr="00C67F0A" w:rsidRDefault="007D1E5F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Course Learning Outcomes: </w:t>
            </w:r>
          </w:p>
          <w:p w14:paraId="03709F8B" w14:textId="77777777" w:rsidR="00825E31" w:rsidRPr="00C67F0A" w:rsidRDefault="00825E31" w:rsidP="00825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successful completion of the course, s</w:t>
            </w:r>
            <w:r w:rsidRPr="00C67F0A">
              <w:rPr>
                <w:sz w:val="20"/>
                <w:szCs w:val="20"/>
              </w:rPr>
              <w:t>tudents are expected to</w:t>
            </w:r>
            <w:r>
              <w:rPr>
                <w:sz w:val="20"/>
                <w:szCs w:val="20"/>
              </w:rPr>
              <w:t xml:space="preserve"> have the following competencies:</w:t>
            </w:r>
          </w:p>
          <w:p w14:paraId="34B8E935" w14:textId="77777777" w:rsidR="00825E31" w:rsidRPr="00C67F0A" w:rsidRDefault="00825E31" w:rsidP="00825E3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modern networking concepts such as SDN and NFV;</w:t>
            </w:r>
          </w:p>
          <w:p w14:paraId="34D75977" w14:textId="77777777" w:rsidR="00825E31" w:rsidRDefault="00825E31" w:rsidP="00825E3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issues related to “big data”, mobility, network complexity, cloud computing;</w:t>
            </w:r>
          </w:p>
          <w:p w14:paraId="44900172" w14:textId="77777777" w:rsidR="00825E31" w:rsidRDefault="00825E31" w:rsidP="00825E3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user needs and suggest ways to support them;</w:t>
            </w:r>
          </w:p>
          <w:p w14:paraId="52B94056" w14:textId="6346F487" w:rsidR="00825E31" w:rsidRPr="00825E31" w:rsidRDefault="00825E31" w:rsidP="00825E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25E31">
              <w:rPr>
                <w:rFonts w:ascii="Times New Roman" w:hAnsi="Times New Roman"/>
                <w:sz w:val="20"/>
                <w:szCs w:val="20"/>
              </w:rPr>
              <w:t>Understand modern networking architectures: clouds and fog</w:t>
            </w:r>
          </w:p>
        </w:tc>
      </w:tr>
      <w:tr w:rsidR="00B25997" w:rsidRPr="00C67F0A" w14:paraId="54130DC4" w14:textId="77777777" w:rsidTr="00885D0A">
        <w:trPr>
          <w:trHeight w:val="256"/>
        </w:trPr>
        <w:tc>
          <w:tcPr>
            <w:tcW w:w="1368" w:type="dxa"/>
            <w:vMerge w:val="restart"/>
            <w:noWrap/>
            <w:vAlign w:val="center"/>
          </w:tcPr>
          <w:p w14:paraId="3BCF0FF3" w14:textId="77777777" w:rsidR="00B25997" w:rsidRPr="00C67F0A" w:rsidRDefault="00B25997" w:rsidP="000A68F7">
            <w:pPr>
              <w:jc w:val="center"/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30" w:type="dxa"/>
            <w:vAlign w:val="center"/>
          </w:tcPr>
          <w:p w14:paraId="11A3B698" w14:textId="77777777" w:rsidR="00B25997" w:rsidRPr="00C67F0A" w:rsidRDefault="00B25997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0" w:type="dxa"/>
            <w:gridSpan w:val="2"/>
            <w:vAlign w:val="center"/>
          </w:tcPr>
          <w:p w14:paraId="50A0AC7A" w14:textId="77777777" w:rsidR="00B25997" w:rsidRPr="00C67F0A" w:rsidRDefault="00B25997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  <w:vAlign w:val="center"/>
          </w:tcPr>
          <w:p w14:paraId="3F059432" w14:textId="77777777" w:rsidR="00B25997" w:rsidRPr="00C67F0A" w:rsidRDefault="00B25997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B25997" w:rsidRPr="00C67F0A" w14:paraId="37AC5F99" w14:textId="77777777" w:rsidTr="000A68F7">
        <w:trPr>
          <w:trHeight w:val="115"/>
        </w:trPr>
        <w:tc>
          <w:tcPr>
            <w:tcW w:w="1368" w:type="dxa"/>
            <w:vMerge/>
            <w:noWrap/>
            <w:vAlign w:val="center"/>
          </w:tcPr>
          <w:p w14:paraId="7A03FC9B" w14:textId="77777777" w:rsidR="00B25997" w:rsidRPr="00C67F0A" w:rsidRDefault="00B25997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5FEAF70" w14:textId="77777777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Midterm Exam</w:t>
            </w:r>
          </w:p>
        </w:tc>
        <w:tc>
          <w:tcPr>
            <w:tcW w:w="1980" w:type="dxa"/>
            <w:gridSpan w:val="2"/>
            <w:vAlign w:val="center"/>
          </w:tcPr>
          <w:p w14:paraId="169D092C" w14:textId="77777777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70" w:type="dxa"/>
            <w:vAlign w:val="center"/>
          </w:tcPr>
          <w:p w14:paraId="21759A47" w14:textId="7EBFE545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B25997" w:rsidRPr="00C67F0A" w14:paraId="74E0C20A" w14:textId="77777777" w:rsidTr="00B25997">
        <w:trPr>
          <w:trHeight w:val="274"/>
        </w:trPr>
        <w:tc>
          <w:tcPr>
            <w:tcW w:w="1368" w:type="dxa"/>
            <w:vMerge/>
            <w:noWrap/>
            <w:vAlign w:val="center"/>
          </w:tcPr>
          <w:p w14:paraId="6ADC4732" w14:textId="77777777" w:rsidR="00B25997" w:rsidRPr="00C67F0A" w:rsidRDefault="00B25997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FA44878" w14:textId="77777777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Final Exam</w:t>
            </w:r>
          </w:p>
        </w:tc>
        <w:tc>
          <w:tcPr>
            <w:tcW w:w="1980" w:type="dxa"/>
            <w:gridSpan w:val="2"/>
            <w:vAlign w:val="center"/>
          </w:tcPr>
          <w:p w14:paraId="7C7CEE72" w14:textId="77777777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70" w:type="dxa"/>
            <w:vAlign w:val="center"/>
          </w:tcPr>
          <w:p w14:paraId="5FD476DC" w14:textId="325E7772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B25997" w:rsidRPr="00C67F0A" w14:paraId="6B94C544" w14:textId="77777777" w:rsidTr="000A68F7">
        <w:trPr>
          <w:trHeight w:val="115"/>
        </w:trPr>
        <w:tc>
          <w:tcPr>
            <w:tcW w:w="1368" w:type="dxa"/>
            <w:vMerge/>
            <w:noWrap/>
            <w:vAlign w:val="center"/>
          </w:tcPr>
          <w:p w14:paraId="3936C6EB" w14:textId="77777777" w:rsidR="00B25997" w:rsidRPr="00C67F0A" w:rsidRDefault="00B25997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579F3D4" w14:textId="39933876" w:rsidR="00B25997" w:rsidRDefault="00825E31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</w:t>
            </w:r>
            <w:r w:rsidR="00B25997">
              <w:rPr>
                <w:bCs/>
                <w:sz w:val="20"/>
                <w:szCs w:val="20"/>
              </w:rPr>
              <w:t xml:space="preserve"> Sessions</w:t>
            </w:r>
          </w:p>
        </w:tc>
        <w:tc>
          <w:tcPr>
            <w:tcW w:w="1980" w:type="dxa"/>
            <w:gridSpan w:val="2"/>
            <w:vAlign w:val="center"/>
          </w:tcPr>
          <w:p w14:paraId="328BB6F3" w14:textId="2AF0EAD5" w:rsidR="00B25997" w:rsidRDefault="00825E31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70" w:type="dxa"/>
            <w:vAlign w:val="center"/>
          </w:tcPr>
          <w:p w14:paraId="34F66530" w14:textId="77777777" w:rsidR="00B25997" w:rsidRDefault="00B25997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10%</w:t>
            </w:r>
          </w:p>
        </w:tc>
      </w:tr>
      <w:tr w:rsidR="00B25997" w:rsidRPr="00C67F0A" w14:paraId="48BDB86F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18101903" w14:textId="77777777" w:rsidR="00B25997" w:rsidRPr="00B25997" w:rsidRDefault="00B25997" w:rsidP="00B25997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 xml:space="preserve">Attendance and Participation: </w:t>
            </w:r>
            <w:r w:rsidRPr="00B25997">
              <w:rPr>
                <w:bCs/>
                <w:sz w:val="20"/>
                <w:szCs w:val="20"/>
              </w:rPr>
              <w:t>Attendance to every lecture is mandatory.</w:t>
            </w:r>
          </w:p>
          <w:p w14:paraId="0025E48D" w14:textId="77777777" w:rsidR="00B25997" w:rsidRDefault="00B25997" w:rsidP="00B259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4F6A" w:rsidRPr="00C67F0A" w14:paraId="317CB910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6A71C21A" w14:textId="2C23461E" w:rsidR="00B25997" w:rsidRPr="00B25997" w:rsidRDefault="00B25997" w:rsidP="00B25997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>NG Policy:</w:t>
            </w:r>
            <w:r w:rsidRPr="00B25997">
              <w:rPr>
                <w:bCs/>
                <w:sz w:val="20"/>
                <w:szCs w:val="20"/>
              </w:rPr>
              <w:t xml:space="preserve"> Receiving zero from or missing any of the components (midterm, </w:t>
            </w:r>
            <w:r>
              <w:rPr>
                <w:bCs/>
                <w:sz w:val="20"/>
                <w:szCs w:val="20"/>
              </w:rPr>
              <w:t>fi</w:t>
            </w:r>
            <w:r w:rsidRPr="00B25997">
              <w:rPr>
                <w:bCs/>
                <w:sz w:val="20"/>
                <w:szCs w:val="20"/>
              </w:rPr>
              <w:t>nal</w:t>
            </w:r>
            <w:r w:rsidR="001B1025">
              <w:rPr>
                <w:bCs/>
                <w:sz w:val="20"/>
                <w:szCs w:val="20"/>
              </w:rPr>
              <w:t>, lab</w:t>
            </w:r>
            <w:r w:rsidRPr="00B25997">
              <w:rPr>
                <w:bCs/>
                <w:sz w:val="20"/>
                <w:szCs w:val="20"/>
              </w:rPr>
              <w:t>) used in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5997">
              <w:rPr>
                <w:bCs/>
                <w:sz w:val="20"/>
                <w:szCs w:val="20"/>
              </w:rPr>
              <w:t xml:space="preserve">determination of the letter grade </w:t>
            </w:r>
            <w:r w:rsidR="0070595C">
              <w:rPr>
                <w:bCs/>
                <w:sz w:val="20"/>
                <w:szCs w:val="20"/>
              </w:rPr>
              <w:t xml:space="preserve">or attending &lt;50% of the lectures </w:t>
            </w:r>
            <w:r w:rsidRPr="00B25997">
              <w:rPr>
                <w:bCs/>
                <w:sz w:val="20"/>
                <w:szCs w:val="20"/>
              </w:rPr>
              <w:t>may result in an NG</w:t>
            </w:r>
            <w:r w:rsidR="0070595C">
              <w:rPr>
                <w:bCs/>
                <w:sz w:val="20"/>
                <w:szCs w:val="20"/>
              </w:rPr>
              <w:t xml:space="preserve"> </w:t>
            </w:r>
            <w:r w:rsidR="0070595C" w:rsidRPr="00261C95">
              <w:rPr>
                <w:bCs/>
                <w:sz w:val="20"/>
                <w:szCs w:val="20"/>
              </w:rPr>
              <w:t xml:space="preserve">if the accumulated </w:t>
            </w:r>
            <w:r w:rsidR="0070595C">
              <w:rPr>
                <w:bCs/>
                <w:sz w:val="20"/>
                <w:szCs w:val="20"/>
              </w:rPr>
              <w:t xml:space="preserve">total </w:t>
            </w:r>
            <w:r w:rsidR="0070595C" w:rsidRPr="00261C95">
              <w:rPr>
                <w:bCs/>
                <w:sz w:val="20"/>
                <w:szCs w:val="20"/>
              </w:rPr>
              <w:t xml:space="preserve">mark in </w:t>
            </w:r>
            <w:r w:rsidR="0070595C">
              <w:rPr>
                <w:bCs/>
                <w:sz w:val="20"/>
                <w:szCs w:val="20"/>
              </w:rPr>
              <w:t>the course is &lt;50%</w:t>
            </w:r>
            <w:r w:rsidRPr="00B25997">
              <w:rPr>
                <w:bCs/>
                <w:sz w:val="20"/>
                <w:szCs w:val="20"/>
              </w:rPr>
              <w:t>.</w:t>
            </w:r>
          </w:p>
          <w:p w14:paraId="29976EA7" w14:textId="77777777" w:rsidR="002B25D2" w:rsidRPr="00B14F6A" w:rsidRDefault="002B25D2" w:rsidP="00B25997">
            <w:pPr>
              <w:rPr>
                <w:bCs/>
                <w:sz w:val="20"/>
                <w:szCs w:val="20"/>
              </w:rPr>
            </w:pPr>
          </w:p>
        </w:tc>
      </w:tr>
      <w:tr w:rsidR="00DF1F7C" w:rsidRPr="00C67F0A" w14:paraId="2A31DC74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35AFD38A" w14:textId="77777777" w:rsidR="0070595C" w:rsidRDefault="00B25997" w:rsidP="0070595C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>Make-Up Policy:</w:t>
            </w:r>
            <w:r w:rsidRPr="00B25997">
              <w:rPr>
                <w:bCs/>
                <w:sz w:val="20"/>
                <w:szCs w:val="20"/>
              </w:rPr>
              <w:t xml:space="preserve"> </w:t>
            </w:r>
            <w:r w:rsidR="0070595C" w:rsidRPr="00B25997">
              <w:rPr>
                <w:bCs/>
                <w:sz w:val="20"/>
                <w:szCs w:val="20"/>
              </w:rPr>
              <w:t xml:space="preserve">Only one </w:t>
            </w:r>
            <w:r w:rsidR="0070595C" w:rsidRPr="00B25997">
              <w:rPr>
                <w:b/>
                <w:bCs/>
                <w:sz w:val="20"/>
                <w:szCs w:val="20"/>
              </w:rPr>
              <w:t>comprehensive</w:t>
            </w:r>
            <w:r w:rsidR="0070595C" w:rsidRPr="00B25997">
              <w:rPr>
                <w:bCs/>
                <w:sz w:val="20"/>
                <w:szCs w:val="20"/>
              </w:rPr>
              <w:t xml:space="preserve"> make-up examination will be given for a missed</w:t>
            </w:r>
            <w:r w:rsidR="0070595C">
              <w:rPr>
                <w:bCs/>
                <w:sz w:val="20"/>
                <w:szCs w:val="20"/>
              </w:rPr>
              <w:t xml:space="preserve"> midterm or</w:t>
            </w:r>
            <w:r w:rsidR="0070595C" w:rsidRPr="00B25997">
              <w:rPr>
                <w:bCs/>
                <w:sz w:val="20"/>
                <w:szCs w:val="20"/>
              </w:rPr>
              <w:t xml:space="preserve"> </w:t>
            </w:r>
            <w:r w:rsidR="0070595C">
              <w:rPr>
                <w:bCs/>
                <w:sz w:val="20"/>
                <w:szCs w:val="20"/>
              </w:rPr>
              <w:t>fi</w:t>
            </w:r>
            <w:r w:rsidR="0070595C" w:rsidRPr="00B25997">
              <w:rPr>
                <w:bCs/>
                <w:sz w:val="20"/>
                <w:szCs w:val="20"/>
              </w:rPr>
              <w:t xml:space="preserve">nal </w:t>
            </w:r>
            <w:r w:rsidR="0070595C" w:rsidRPr="00B25997">
              <w:rPr>
                <w:b/>
                <w:bCs/>
                <w:sz w:val="20"/>
                <w:szCs w:val="20"/>
              </w:rPr>
              <w:t>only under exceptional</w:t>
            </w:r>
            <w:r w:rsidR="0070595C">
              <w:rPr>
                <w:b/>
                <w:bCs/>
                <w:sz w:val="20"/>
                <w:szCs w:val="20"/>
              </w:rPr>
              <w:t>/extenuating</w:t>
            </w:r>
            <w:r w:rsidR="0070595C" w:rsidRPr="00B25997">
              <w:rPr>
                <w:b/>
                <w:bCs/>
                <w:sz w:val="20"/>
                <w:szCs w:val="20"/>
              </w:rPr>
              <w:t xml:space="preserve"> circumstances</w:t>
            </w:r>
            <w:r w:rsidR="0070595C" w:rsidRPr="00B25997">
              <w:rPr>
                <w:bCs/>
                <w:sz w:val="20"/>
                <w:szCs w:val="20"/>
              </w:rPr>
              <w:t xml:space="preserve"> (e.g., hospitalization, loss of a close</w:t>
            </w:r>
            <w:r w:rsidR="0070595C">
              <w:rPr>
                <w:bCs/>
                <w:sz w:val="20"/>
                <w:szCs w:val="20"/>
              </w:rPr>
              <w:t xml:space="preserve"> </w:t>
            </w:r>
            <w:r w:rsidR="0070595C" w:rsidRPr="00B25997">
              <w:rPr>
                <w:bCs/>
                <w:sz w:val="20"/>
                <w:szCs w:val="20"/>
              </w:rPr>
              <w:t>relative, etc.). In these cas</w:t>
            </w:r>
            <w:r w:rsidR="0070595C">
              <w:rPr>
                <w:bCs/>
                <w:sz w:val="20"/>
                <w:szCs w:val="20"/>
              </w:rPr>
              <w:t>es, students must submit a petition</w:t>
            </w:r>
            <w:r w:rsidR="0070595C" w:rsidRPr="00B25997">
              <w:rPr>
                <w:bCs/>
                <w:sz w:val="20"/>
                <w:szCs w:val="20"/>
              </w:rPr>
              <w:t xml:space="preserve"> with related </w:t>
            </w:r>
            <w:r w:rsidR="0070595C">
              <w:rPr>
                <w:bCs/>
                <w:sz w:val="20"/>
                <w:szCs w:val="20"/>
              </w:rPr>
              <w:t xml:space="preserve">official </w:t>
            </w:r>
            <w:r w:rsidR="0070595C" w:rsidRPr="00B25997">
              <w:rPr>
                <w:bCs/>
                <w:sz w:val="20"/>
                <w:szCs w:val="20"/>
              </w:rPr>
              <w:t>reports</w:t>
            </w:r>
            <w:r w:rsidR="0070595C">
              <w:rPr>
                <w:bCs/>
                <w:sz w:val="20"/>
                <w:szCs w:val="20"/>
              </w:rPr>
              <w:t xml:space="preserve"> to me </w:t>
            </w:r>
            <w:r w:rsidR="0070595C" w:rsidRPr="00B25997">
              <w:rPr>
                <w:bCs/>
                <w:sz w:val="20"/>
                <w:szCs w:val="20"/>
              </w:rPr>
              <w:t>within the next three working days following the missed exam. Note that minor ailments are not</w:t>
            </w:r>
            <w:r w:rsidR="0070595C">
              <w:rPr>
                <w:bCs/>
                <w:sz w:val="20"/>
                <w:szCs w:val="20"/>
              </w:rPr>
              <w:t xml:space="preserve"> </w:t>
            </w:r>
            <w:r w:rsidR="0070595C" w:rsidRPr="00B25997">
              <w:rPr>
                <w:bCs/>
                <w:sz w:val="20"/>
                <w:szCs w:val="20"/>
              </w:rPr>
              <w:t>considered as exceptional</w:t>
            </w:r>
            <w:r w:rsidR="0070595C">
              <w:rPr>
                <w:bCs/>
                <w:sz w:val="20"/>
                <w:szCs w:val="20"/>
              </w:rPr>
              <w:t>/extenuating</w:t>
            </w:r>
            <w:r w:rsidR="0070595C" w:rsidRPr="00B25997">
              <w:rPr>
                <w:bCs/>
                <w:sz w:val="20"/>
                <w:szCs w:val="20"/>
              </w:rPr>
              <w:t xml:space="preserve"> circumstances. Eligibility to take the make-up exam </w:t>
            </w:r>
            <w:r w:rsidR="0070595C" w:rsidRPr="00B25997">
              <w:rPr>
                <w:b/>
                <w:bCs/>
                <w:sz w:val="20"/>
                <w:szCs w:val="20"/>
              </w:rPr>
              <w:t>will be subject to my final approval</w:t>
            </w:r>
            <w:r w:rsidR="0070595C">
              <w:rPr>
                <w:b/>
                <w:bCs/>
                <w:sz w:val="20"/>
                <w:szCs w:val="20"/>
              </w:rPr>
              <w:t>.</w:t>
            </w:r>
          </w:p>
          <w:p w14:paraId="261C63EA" w14:textId="6CAFF751" w:rsidR="00DF1F7C" w:rsidRPr="00DF1F7C" w:rsidRDefault="00DF1F7C" w:rsidP="00DF1F7C">
            <w:pPr>
              <w:rPr>
                <w:bCs/>
                <w:sz w:val="20"/>
                <w:szCs w:val="20"/>
              </w:rPr>
            </w:pPr>
          </w:p>
        </w:tc>
      </w:tr>
      <w:tr w:rsidR="00DF1F7C" w:rsidRPr="00C67F0A" w14:paraId="05FC9E3E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67A38173" w14:textId="3F98C2AC" w:rsidR="00B25997" w:rsidRPr="00B25997" w:rsidRDefault="00B25997" w:rsidP="00B25997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 xml:space="preserve">Academic Dishonesty: </w:t>
            </w:r>
            <w:r w:rsidRPr="00B25997">
              <w:rPr>
                <w:bCs/>
                <w:sz w:val="20"/>
                <w:szCs w:val="20"/>
              </w:rPr>
              <w:t>Any conduct that attempts to gain unfa</w:t>
            </w:r>
            <w:r>
              <w:rPr>
                <w:bCs/>
                <w:sz w:val="20"/>
                <w:szCs w:val="20"/>
              </w:rPr>
              <w:t>ir academic advantage is consid</w:t>
            </w:r>
            <w:r w:rsidRPr="00B25997">
              <w:rPr>
                <w:bCs/>
                <w:sz w:val="20"/>
                <w:szCs w:val="20"/>
              </w:rPr>
              <w:t>ered academic dishonesty. Copying labs and assignments, cheating during exams, substituting for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5997">
              <w:rPr>
                <w:bCs/>
                <w:sz w:val="20"/>
                <w:szCs w:val="20"/>
              </w:rPr>
              <w:t>another person are some examples of academic dishonesty. Cases of academic dishonesty will not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5997">
              <w:rPr>
                <w:bCs/>
                <w:sz w:val="20"/>
                <w:szCs w:val="20"/>
              </w:rPr>
              <w:t>be tolerated and will be punished according to EMU's disciplinary policies.</w:t>
            </w:r>
          </w:p>
          <w:p w14:paraId="04D54D21" w14:textId="06A9F757" w:rsidR="00DF1F7C" w:rsidRPr="00DF1F7C" w:rsidRDefault="00B25997" w:rsidP="00B25997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E5F" w:rsidRPr="00C67F0A" w14:paraId="434AEEAB" w14:textId="77777777" w:rsidTr="000A68F7">
        <w:trPr>
          <w:trHeight w:val="1763"/>
        </w:trPr>
        <w:tc>
          <w:tcPr>
            <w:tcW w:w="9648" w:type="dxa"/>
            <w:gridSpan w:val="5"/>
            <w:noWrap/>
            <w:vAlign w:val="center"/>
          </w:tcPr>
          <w:p w14:paraId="355E0E6B" w14:textId="79449AFE" w:rsidR="00B25997" w:rsidRPr="00C67F0A" w:rsidRDefault="00B25997" w:rsidP="00B2599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Relationship of</w:t>
            </w:r>
            <w:r>
              <w:rPr>
                <w:b/>
                <w:bCs/>
                <w:sz w:val="20"/>
                <w:szCs w:val="20"/>
              </w:rPr>
              <w:t xml:space="preserve"> the c</w:t>
            </w:r>
            <w:r w:rsidRPr="00C67F0A">
              <w:rPr>
                <w:b/>
                <w:bCs/>
                <w:sz w:val="20"/>
                <w:szCs w:val="20"/>
              </w:rPr>
              <w:t xml:space="preserve">ourse to </w:t>
            </w:r>
            <w:r>
              <w:rPr>
                <w:b/>
                <w:bCs/>
                <w:sz w:val="20"/>
                <w:szCs w:val="20"/>
              </w:rPr>
              <w:t>Student</w:t>
            </w:r>
            <w:r w:rsidRPr="00C67F0A">
              <w:rPr>
                <w:b/>
                <w:bCs/>
                <w:sz w:val="20"/>
                <w:szCs w:val="20"/>
              </w:rPr>
              <w:t xml:space="preserve"> Outcomes</w:t>
            </w:r>
            <w:r w:rsidR="001B1025">
              <w:rPr>
                <w:b/>
                <w:bCs/>
                <w:sz w:val="20"/>
                <w:szCs w:val="20"/>
              </w:rPr>
              <w:t>:</w:t>
            </w:r>
          </w:p>
          <w:p w14:paraId="03731D0F" w14:textId="60388E5D" w:rsidR="00B25997" w:rsidRDefault="00B25997" w:rsidP="00B25997">
            <w:pPr>
              <w:jc w:val="both"/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The course </w:t>
            </w:r>
            <w:r w:rsidR="00274AFE">
              <w:rPr>
                <w:bCs/>
                <w:sz w:val="20"/>
                <w:szCs w:val="20"/>
              </w:rPr>
              <w:t>has been designed to contribute</w:t>
            </w:r>
            <w:r w:rsidRPr="00C67F0A">
              <w:rPr>
                <w:bCs/>
                <w:sz w:val="20"/>
                <w:szCs w:val="20"/>
              </w:rPr>
              <w:t xml:space="preserve"> to the following </w:t>
            </w:r>
            <w:r>
              <w:rPr>
                <w:bCs/>
                <w:sz w:val="20"/>
                <w:szCs w:val="20"/>
              </w:rPr>
              <w:t>student</w:t>
            </w:r>
            <w:r w:rsidRPr="00C67F0A">
              <w:rPr>
                <w:bCs/>
                <w:sz w:val="20"/>
                <w:szCs w:val="20"/>
              </w:rPr>
              <w:t xml:space="preserve"> outcomes:</w:t>
            </w:r>
          </w:p>
          <w:p w14:paraId="722E6C0A" w14:textId="77777777" w:rsidR="00B25997" w:rsidRPr="00C67F0A" w:rsidRDefault="00B25997" w:rsidP="00B25997">
            <w:pPr>
              <w:jc w:val="both"/>
              <w:rPr>
                <w:bCs/>
                <w:sz w:val="20"/>
                <w:szCs w:val="20"/>
              </w:rPr>
            </w:pPr>
          </w:p>
          <w:p w14:paraId="79F3A02F" w14:textId="2FCA8E14" w:rsidR="00B25997" w:rsidRPr="00274AFE" w:rsidRDefault="00B25997" w:rsidP="00274A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274AFE">
              <w:rPr>
                <w:rFonts w:ascii="Times New Roman" w:hAnsi="Times New Roman"/>
                <w:sz w:val="20"/>
                <w:szCs w:val="20"/>
              </w:rPr>
              <w:t>an ability to identify, formulate, and solve complex engineering problems by applying principles of engineering, science, and mathematics</w:t>
            </w:r>
          </w:p>
          <w:p w14:paraId="74BA7294" w14:textId="77777777" w:rsidR="00274AFE" w:rsidRPr="00274AFE" w:rsidRDefault="00274AFE" w:rsidP="00274AFE">
            <w:pPr>
              <w:pStyle w:val="ListParagraph"/>
              <w:rPr>
                <w:sz w:val="20"/>
                <w:szCs w:val="20"/>
              </w:rPr>
            </w:pPr>
          </w:p>
          <w:p w14:paraId="72EB2DDA" w14:textId="77777777" w:rsidR="00404527" w:rsidRPr="00C67F0A" w:rsidRDefault="00404527" w:rsidP="004045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E5F" w:rsidRPr="00C67F0A" w14:paraId="5BF990AE" w14:textId="77777777" w:rsidTr="000A68F7">
        <w:trPr>
          <w:trHeight w:val="312"/>
        </w:trPr>
        <w:tc>
          <w:tcPr>
            <w:tcW w:w="4824" w:type="dxa"/>
            <w:gridSpan w:val="3"/>
            <w:noWrap/>
            <w:vAlign w:val="center"/>
          </w:tcPr>
          <w:p w14:paraId="2CB2F44F" w14:textId="284D9C6D" w:rsidR="007D1E5F" w:rsidRPr="00C67F0A" w:rsidRDefault="007D1E5F" w:rsidP="00BB1119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Prepared by: </w:t>
            </w:r>
            <w:r w:rsidRPr="00C67F0A">
              <w:rPr>
                <w:sz w:val="20"/>
                <w:szCs w:val="20"/>
              </w:rPr>
              <w:t xml:space="preserve">Prof. Dr. </w:t>
            </w:r>
            <w:r w:rsidR="00404527">
              <w:rPr>
                <w:sz w:val="20"/>
                <w:szCs w:val="20"/>
              </w:rPr>
              <w:t>Dogu Arifler</w:t>
            </w:r>
          </w:p>
        </w:tc>
        <w:tc>
          <w:tcPr>
            <w:tcW w:w="4824" w:type="dxa"/>
            <w:gridSpan w:val="2"/>
            <w:vAlign w:val="center"/>
          </w:tcPr>
          <w:p w14:paraId="68533A89" w14:textId="086A5870" w:rsidR="007D1E5F" w:rsidRPr="00C67F0A" w:rsidRDefault="007D1E5F" w:rsidP="00A73D32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Date Prepared: </w:t>
            </w:r>
            <w:r w:rsidR="00AC3432">
              <w:rPr>
                <w:sz w:val="20"/>
                <w:szCs w:val="20"/>
              </w:rPr>
              <w:t>15</w:t>
            </w:r>
            <w:r w:rsidR="00BB1119">
              <w:rPr>
                <w:sz w:val="20"/>
                <w:szCs w:val="20"/>
              </w:rPr>
              <w:t xml:space="preserve"> </w:t>
            </w:r>
            <w:r w:rsidR="00AC3432">
              <w:rPr>
                <w:sz w:val="20"/>
                <w:szCs w:val="20"/>
              </w:rPr>
              <w:t>Septe</w:t>
            </w:r>
            <w:r w:rsidR="00464C80">
              <w:rPr>
                <w:sz w:val="20"/>
                <w:szCs w:val="20"/>
              </w:rPr>
              <w:t>m</w:t>
            </w:r>
            <w:r w:rsidR="00A73D32">
              <w:rPr>
                <w:sz w:val="20"/>
                <w:szCs w:val="20"/>
              </w:rPr>
              <w:t>ber</w:t>
            </w:r>
            <w:r w:rsidR="00BB1119">
              <w:rPr>
                <w:sz w:val="20"/>
                <w:szCs w:val="20"/>
              </w:rPr>
              <w:t xml:space="preserve"> 201</w:t>
            </w:r>
            <w:r w:rsidR="00B21331">
              <w:rPr>
                <w:sz w:val="20"/>
                <w:szCs w:val="20"/>
              </w:rPr>
              <w:t>9</w:t>
            </w:r>
          </w:p>
        </w:tc>
      </w:tr>
    </w:tbl>
    <w:p w14:paraId="1030472B" w14:textId="77777777" w:rsidR="007D1E5F" w:rsidRDefault="007D1E5F"/>
    <w:sectPr w:rsidR="007D1E5F" w:rsidSect="00C4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BD3"/>
    <w:multiLevelType w:val="hybridMultilevel"/>
    <w:tmpl w:val="AFF4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BA03E1"/>
    <w:multiLevelType w:val="hybridMultilevel"/>
    <w:tmpl w:val="9E164FD0"/>
    <w:lvl w:ilvl="0" w:tplc="52F635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D519BE"/>
    <w:multiLevelType w:val="hybridMultilevel"/>
    <w:tmpl w:val="4224EC7E"/>
    <w:lvl w:ilvl="0" w:tplc="38206D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14774"/>
    <w:multiLevelType w:val="multilevel"/>
    <w:tmpl w:val="F7C8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DBA"/>
    <w:rsid w:val="000268C7"/>
    <w:rsid w:val="00042DBA"/>
    <w:rsid w:val="00080E29"/>
    <w:rsid w:val="001818FE"/>
    <w:rsid w:val="001875CC"/>
    <w:rsid w:val="001B1025"/>
    <w:rsid w:val="001F3E7D"/>
    <w:rsid w:val="00274AFE"/>
    <w:rsid w:val="002A6979"/>
    <w:rsid w:val="002B25D2"/>
    <w:rsid w:val="002C4C36"/>
    <w:rsid w:val="002F12F8"/>
    <w:rsid w:val="00327E9F"/>
    <w:rsid w:val="00343636"/>
    <w:rsid w:val="00370440"/>
    <w:rsid w:val="003F398C"/>
    <w:rsid w:val="00404527"/>
    <w:rsid w:val="0041257D"/>
    <w:rsid w:val="00464C80"/>
    <w:rsid w:val="004C1243"/>
    <w:rsid w:val="0050214D"/>
    <w:rsid w:val="0054773B"/>
    <w:rsid w:val="0064226B"/>
    <w:rsid w:val="006808AB"/>
    <w:rsid w:val="006B4031"/>
    <w:rsid w:val="0070595C"/>
    <w:rsid w:val="00775411"/>
    <w:rsid w:val="007D1E5F"/>
    <w:rsid w:val="007F138A"/>
    <w:rsid w:val="00825E31"/>
    <w:rsid w:val="00885D0A"/>
    <w:rsid w:val="009C6DD5"/>
    <w:rsid w:val="00A43733"/>
    <w:rsid w:val="00A545AE"/>
    <w:rsid w:val="00A63239"/>
    <w:rsid w:val="00A73D32"/>
    <w:rsid w:val="00AC3432"/>
    <w:rsid w:val="00AD5C79"/>
    <w:rsid w:val="00B14F6A"/>
    <w:rsid w:val="00B21331"/>
    <w:rsid w:val="00B25997"/>
    <w:rsid w:val="00B25C52"/>
    <w:rsid w:val="00BB1119"/>
    <w:rsid w:val="00C15456"/>
    <w:rsid w:val="00C4530A"/>
    <w:rsid w:val="00C762DF"/>
    <w:rsid w:val="00DF1F7C"/>
    <w:rsid w:val="00E43076"/>
    <w:rsid w:val="00E764A6"/>
    <w:rsid w:val="00EB7977"/>
    <w:rsid w:val="00EF035F"/>
    <w:rsid w:val="00E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BEC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42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0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BE27BC16DDA40B2DEFCA3B8F355A3" ma:contentTypeVersion="" ma:contentTypeDescription="Create a new document." ma:contentTypeScope="" ma:versionID="08de7df224e6067acb8e9f1e912bb6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59838-56B3-42B9-AB5F-CD06F5D529FD}"/>
</file>

<file path=customXml/itemProps2.xml><?xml version="1.0" encoding="utf-8"?>
<ds:datastoreItem xmlns:ds="http://schemas.openxmlformats.org/officeDocument/2006/customXml" ds:itemID="{3A53B087-2699-406E-B379-F33BC7DEA9D0}"/>
</file>

<file path=customXml/itemProps3.xml><?xml version="1.0" encoding="utf-8"?>
<ds:datastoreItem xmlns:ds="http://schemas.openxmlformats.org/officeDocument/2006/customXml" ds:itemID="{0F005FB9-4DC1-4797-9801-C98E6E033E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2</Pages>
  <Words>680</Words>
  <Characters>3882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Microsoft Office User</cp:lastModifiedBy>
  <cp:revision>26</cp:revision>
  <dcterms:created xsi:type="dcterms:W3CDTF">2013-10-01T12:18:00Z</dcterms:created>
  <dcterms:modified xsi:type="dcterms:W3CDTF">2019-09-21T10:20:00Z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0x01010013ABE27BC16DDA40B2DEFCA3B8F355A3</vt:lpwstr>
  </property>
</Properties>
</file>