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530"/>
        <w:gridCol w:w="1890"/>
        <w:gridCol w:w="3420"/>
      </w:tblGrid>
      <w:tr w:rsidR="006B1918" w:rsidTr="00D125B1">
        <w:trPr>
          <w:trHeight w:val="312"/>
        </w:trPr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ind w:left="72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6B1918" w:rsidRDefault="003D2B07" w:rsidP="00D76D60">
            <w:pPr>
              <w:ind w:left="720"/>
              <w:jc w:val="center"/>
            </w:pPr>
            <w:r>
              <w:rPr>
                <w:b/>
                <w:bCs/>
                <w:sz w:val="28"/>
                <w:szCs w:val="28"/>
              </w:rPr>
              <w:t>CMSE 491</w:t>
            </w:r>
            <w:r w:rsidR="006B1918">
              <w:rPr>
                <w:b/>
                <w:bCs/>
                <w:sz w:val="28"/>
                <w:szCs w:val="28"/>
              </w:rPr>
              <w:t xml:space="preserve"> Selected T</w:t>
            </w:r>
            <w:r w:rsidR="00D125B1">
              <w:rPr>
                <w:b/>
                <w:bCs/>
                <w:sz w:val="28"/>
                <w:szCs w:val="28"/>
              </w:rPr>
              <w:t>opics in Software Engineering I</w:t>
            </w:r>
          </w:p>
          <w:p w:rsidR="006B1918" w:rsidRDefault="006B1918" w:rsidP="00D76D60">
            <w:pPr>
              <w:ind w:left="720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</w:tr>
      <w:tr w:rsidR="006B1918" w:rsidTr="00D125B1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Department:</w:t>
            </w:r>
            <w:r>
              <w:rPr>
                <w:sz w:val="20"/>
                <w:szCs w:val="20"/>
              </w:rPr>
              <w:t xml:space="preserve">   Computer Engineering </w:t>
            </w:r>
          </w:p>
          <w:p w:rsidR="006B1918" w:rsidRDefault="006B1918" w:rsidP="00D76D60">
            <w:r>
              <w:rPr>
                <w:sz w:val="20"/>
                <w:szCs w:val="20"/>
              </w:rPr>
              <w:t> </w:t>
            </w:r>
          </w:p>
        </w:tc>
      </w:tr>
      <w:tr w:rsidR="006B1918" w:rsidTr="00D125B1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Instructor Information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Name:  </w:t>
            </w:r>
            <w:r>
              <w:rPr>
                <w:sz w:val="20"/>
                <w:szCs w:val="20"/>
              </w:rPr>
              <w:t xml:space="preserve">Assoc. Prof. Dr. Alexander </w:t>
            </w:r>
            <w:proofErr w:type="spellStart"/>
            <w:r>
              <w:rPr>
                <w:sz w:val="20"/>
                <w:szCs w:val="20"/>
              </w:rPr>
              <w:t>Chefranov</w:t>
            </w:r>
            <w:proofErr w:type="spellEnd"/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Alexander.chefranov@emu.edu.tr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Office: </w:t>
            </w:r>
            <w:r>
              <w:rPr>
                <w:sz w:val="20"/>
                <w:szCs w:val="20"/>
              </w:rPr>
              <w:t>CMPE 219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Office Tel: </w:t>
            </w:r>
            <w:r>
              <w:rPr>
                <w:sz w:val="20"/>
                <w:szCs w:val="20"/>
              </w:rPr>
              <w:t xml:space="preserve">0 392 630 1190                   </w:t>
            </w:r>
          </w:p>
          <w:p w:rsidR="006B1918" w:rsidRDefault="006B1918" w:rsidP="00D76D60">
            <w:r>
              <w:rPr>
                <w:sz w:val="20"/>
                <w:szCs w:val="20"/>
              </w:rPr>
              <w:t xml:space="preserve">               </w:t>
            </w:r>
          </w:p>
        </w:tc>
      </w:tr>
      <w:tr w:rsidR="006B1918" w:rsidTr="00D125B1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Assistant Information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Name:  TBD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Office: 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Office Tel:</w:t>
            </w:r>
            <w:r>
              <w:rPr>
                <w:sz w:val="20"/>
                <w:szCs w:val="20"/>
              </w:rPr>
              <w:t xml:space="preserve">               </w:t>
            </w:r>
          </w:p>
          <w:p w:rsidR="006B1918" w:rsidRDefault="006B1918" w:rsidP="00D76D60">
            <w:r>
              <w:rPr>
                <w:sz w:val="20"/>
                <w:szCs w:val="20"/>
              </w:rPr>
              <w:t> </w:t>
            </w:r>
          </w:p>
        </w:tc>
      </w:tr>
      <w:tr w:rsidR="006B1918" w:rsidTr="00D125B1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Meeting times and places</w:t>
            </w:r>
          </w:p>
          <w:p w:rsidR="006B1918" w:rsidRDefault="00D125B1" w:rsidP="00D76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10.30-12</w:t>
            </w:r>
            <w:r w:rsidR="006B1918">
              <w:rPr>
                <w:sz w:val="20"/>
                <w:szCs w:val="20"/>
              </w:rPr>
              <w:t>.20, CMPE</w:t>
            </w:r>
            <w:r>
              <w:rPr>
                <w:sz w:val="20"/>
                <w:szCs w:val="20"/>
              </w:rPr>
              <w:t>036</w:t>
            </w:r>
            <w:r w:rsidR="006B1918">
              <w:rPr>
                <w:sz w:val="20"/>
                <w:szCs w:val="20"/>
              </w:rPr>
              <w:t>, Lecture</w:t>
            </w:r>
          </w:p>
          <w:p w:rsidR="00D125B1" w:rsidRPr="006B1918" w:rsidRDefault="00D125B1" w:rsidP="00D1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10.30-14.20, CMPE036, Lecture</w:t>
            </w:r>
          </w:p>
          <w:p w:rsidR="006B1918" w:rsidRDefault="00D125B1" w:rsidP="00D76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6B1918" w:rsidRPr="006B1918">
              <w:rPr>
                <w:sz w:val="20"/>
                <w:szCs w:val="20"/>
              </w:rPr>
              <w:t xml:space="preserve">day, </w:t>
            </w:r>
            <w:r>
              <w:rPr>
                <w:sz w:val="20"/>
                <w:szCs w:val="20"/>
              </w:rPr>
              <w:t>08.30-10</w:t>
            </w:r>
            <w:r w:rsidR="006B1918" w:rsidRPr="006B1918">
              <w:rPr>
                <w:sz w:val="20"/>
                <w:szCs w:val="20"/>
              </w:rPr>
              <w:t>.20, CMPE134, Lab</w:t>
            </w:r>
          </w:p>
          <w:p w:rsidR="006B1918" w:rsidRDefault="006B1918" w:rsidP="00D125B1"/>
        </w:tc>
      </w:tr>
      <w:tr w:rsidR="006B1918" w:rsidTr="00D125B1">
        <w:trPr>
          <w:trHeight w:val="312"/>
        </w:trPr>
        <w:tc>
          <w:tcPr>
            <w:tcW w:w="4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Program Name:    </w:t>
            </w:r>
            <w:r>
              <w:rPr>
                <w:sz w:val="20"/>
                <w:szCs w:val="20"/>
              </w:rPr>
              <w:t xml:space="preserve"> FORMTEXT Computer Engineering 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Code:</w:t>
            </w:r>
            <w:r>
              <w:rPr>
                <w:sz w:val="20"/>
                <w:szCs w:val="20"/>
              </w:rPr>
              <w:t xml:space="preserve"> 25</w:t>
            </w:r>
          </w:p>
        </w:tc>
      </w:tr>
      <w:tr w:rsidR="006B1918" w:rsidTr="00D125B1">
        <w:trPr>
          <w:trHeight w:val="512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Course Code  </w:t>
            </w:r>
          </w:p>
          <w:p w:rsidR="006B1918" w:rsidRDefault="00D125B1" w:rsidP="00D76D60">
            <w:r>
              <w:rPr>
                <w:sz w:val="20"/>
                <w:szCs w:val="20"/>
              </w:rPr>
              <w:t>CMSE 491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Credits                                        </w:t>
            </w:r>
          </w:p>
          <w:p w:rsidR="006B1918" w:rsidRDefault="006B1918" w:rsidP="00D76D60"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Year/Semester</w:t>
            </w:r>
          </w:p>
          <w:p w:rsidR="006B1918" w:rsidRDefault="00D125B1" w:rsidP="00681092">
            <w:r>
              <w:rPr>
                <w:sz w:val="20"/>
                <w:szCs w:val="20"/>
              </w:rPr>
              <w:t>2019</w:t>
            </w:r>
            <w:r w:rsidR="006B191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="006B1918">
              <w:rPr>
                <w:sz w:val="20"/>
                <w:szCs w:val="20"/>
              </w:rPr>
              <w:t xml:space="preserve"> </w:t>
            </w:r>
            <w:r w:rsidR="00681092">
              <w:rPr>
                <w:sz w:val="20"/>
                <w:szCs w:val="20"/>
              </w:rPr>
              <w:t>Fall</w:t>
            </w:r>
            <w:bookmarkStart w:id="0" w:name="_GoBack"/>
            <w:bookmarkEnd w:id="0"/>
          </w:p>
        </w:tc>
      </w:tr>
      <w:tr w:rsidR="006B1918" w:rsidTr="00D125B1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sz w:val="20"/>
                <w:szCs w:val="20"/>
              </w:rPr>
              <w:t> FORMCHECKBOX   Required Course          FORMCHECKBOX   Elective Course</w:t>
            </w:r>
          </w:p>
        </w:tc>
      </w:tr>
      <w:tr w:rsidR="006B1918" w:rsidTr="00D125B1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6B1918" w:rsidRDefault="006B1918" w:rsidP="00D76D60">
            <w:pPr>
              <w:ind w:left="1800" w:hanging="1800"/>
              <w:jc w:val="both"/>
            </w:pPr>
            <w:r>
              <w:rPr>
                <w:b/>
                <w:bCs/>
                <w:sz w:val="20"/>
                <w:szCs w:val="20"/>
              </w:rPr>
              <w:t>Prerequisite(s):</w:t>
            </w:r>
          </w:p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</w:tc>
      </w:tr>
      <w:tr w:rsidR="006B1918" w:rsidTr="00D125B1">
        <w:trPr>
          <w:trHeight w:val="30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ind w:left="1800" w:hanging="1800"/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pPr>
              <w:ind w:left="1800" w:hanging="1800"/>
              <w:jc w:val="both"/>
            </w:pPr>
            <w:r>
              <w:rPr>
                <w:b/>
                <w:bCs/>
                <w:sz w:val="20"/>
                <w:szCs w:val="20"/>
              </w:rPr>
              <w:t>Catalog Description</w:t>
            </w:r>
            <w:r>
              <w:rPr>
                <w:sz w:val="20"/>
                <w:szCs w:val="20"/>
              </w:rPr>
              <w:t xml:space="preserve"> </w:t>
            </w:r>
          </w:p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This course is to be arranged as seminar course. Students and faculty members participate in studying recent articles published on the research interests of the department. (4'th year standing). (Prerequisite: none)</w:t>
            </w:r>
          </w:p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Aims &amp; Objectives</w:t>
            </w:r>
          </w:p>
          <w:p w:rsidR="006B1918" w:rsidRDefault="006B1918" w:rsidP="00D76D60">
            <w:pPr>
              <w:jc w:val="both"/>
            </w:pPr>
            <w:r>
              <w:rPr>
                <w:i/>
                <w:iCs/>
                <w:color w:val="0000FF"/>
                <w:sz w:val="18"/>
                <w:szCs w:val="18"/>
                <w:lang w:val="en-GB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  <w:lang w:val="en-GB"/>
              </w:rPr>
              <w:t>Teaching the basic concepts of software engineering with specific emphasis on the practical issues involved in software project management through the use of a one-semester design project.</w:t>
            </w:r>
          </w:p>
          <w:p w:rsidR="006B1918" w:rsidRDefault="006B1918" w:rsidP="00D76D60">
            <w:pPr>
              <w:jc w:val="both"/>
            </w:pPr>
            <w:r>
              <w:rPr>
                <w:color w:val="000000"/>
                <w:sz w:val="18"/>
                <w:szCs w:val="18"/>
                <w:lang w:val="en-GB"/>
              </w:rPr>
              <w:t>The students will work in teams on projects of interest to industry and will be involved in analysis of requirements, architecture and design, implementation, testing &amp; validation, project management, software process, software maintenance, and software re-engineering.</w:t>
            </w:r>
          </w:p>
          <w:p w:rsidR="006B1918" w:rsidRDefault="006B1918" w:rsidP="00D76D60">
            <w:r>
              <w:rPr>
                <w:sz w:val="20"/>
                <w:szCs w:val="20"/>
              </w:rPr>
              <w:t> </w:t>
            </w:r>
          </w:p>
        </w:tc>
      </w:tr>
      <w:tr w:rsidR="006B1918" w:rsidTr="00D125B1">
        <w:trPr>
          <w:trHeight w:val="55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6B1918" w:rsidRDefault="006B1918" w:rsidP="00D76D60">
            <w:pPr>
              <w:ind w:left="1800" w:hanging="1800"/>
              <w:jc w:val="both"/>
            </w:pPr>
            <w:r>
              <w:rPr>
                <w:b/>
                <w:bCs/>
                <w:sz w:val="20"/>
                <w:szCs w:val="20"/>
              </w:rPr>
              <w:t>Course Web Page</w:t>
            </w:r>
          </w:p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sz w:val="18"/>
                <w:szCs w:val="18"/>
              </w:rPr>
              <w:t>http://cmpe.emu.edu.tr/en/CourseLoad.aspx?id=CMSE492</w:t>
            </w:r>
          </w:p>
        </w:tc>
      </w:tr>
      <w:tr w:rsidR="006B1918" w:rsidTr="00D125B1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Textbook(s) </w:t>
            </w:r>
          </w:p>
          <w:p w:rsidR="006B1918" w:rsidRDefault="006B1918" w:rsidP="00D76D60"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1918" w:rsidTr="00D125B1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Indicative Basic Reading List:</w:t>
            </w:r>
          </w:p>
          <w:p w:rsidR="006B1918" w:rsidRDefault="006B1918" w:rsidP="00D76D60"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1918" w:rsidTr="00D125B1">
        <w:trPr>
          <w:trHeight w:val="74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Topics Covered and Tentative Class Schedule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(4 hours of lectures per week)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7351"/>
              <w:gridCol w:w="106"/>
            </w:tblGrid>
            <w:tr w:rsidR="006B1918" w:rsidTr="001112B7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1</w:t>
                  </w:r>
                </w:p>
              </w:tc>
              <w:tc>
                <w:tcPr>
                  <w:tcW w:w="7351" w:type="dxa"/>
                  <w:hideMark/>
                </w:tcPr>
                <w:p w:rsidR="006B1918" w:rsidRPr="00655BEF" w:rsidRDefault="001112B7" w:rsidP="001112B7">
                  <w:pPr>
                    <w:jc w:val="both"/>
                  </w:pPr>
                  <w:r>
                    <w:t>Cryptography s</w:t>
                  </w:r>
                  <w:r w:rsidR="00655BEF">
                    <w:t>ecurity methods and attacks on them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1112B7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2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55BEF" w:rsidP="00D76D60">
                  <w:pPr>
                    <w:jc w:val="both"/>
                  </w:pPr>
                  <w:r>
                    <w:t>NTRU-like methods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1112B7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3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55BEF" w:rsidP="00D76D60">
                  <w:pPr>
                    <w:jc w:val="both"/>
                  </w:pPr>
                  <w:r>
                    <w:t>NTRU-like methods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B1918" w:rsidTr="001112B7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4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1112B7" w:rsidP="00655BEF">
                  <w:pPr>
                    <w:jc w:val="both"/>
                  </w:pPr>
                  <w:r>
                    <w:t xml:space="preserve">Lattices, </w:t>
                  </w:r>
                  <w:r w:rsidR="00655BEF">
                    <w:t>LLL method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1112B7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5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55BEF" w:rsidP="00D76D60">
                  <w:pPr>
                    <w:jc w:val="both"/>
                  </w:pPr>
                  <w:r>
                    <w:t>Use of LLL for NTRU attacking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1112B7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6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55BEF" w:rsidP="00D76D60">
                  <w:pPr>
                    <w:jc w:val="both"/>
                  </w:pPr>
                  <w:r>
                    <w:t>RSA method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1112B7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Week  7  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55BEF" w:rsidP="00655BEF">
                  <w:pPr>
                    <w:jc w:val="both"/>
                  </w:pPr>
                  <w:r>
                    <w:t>Use of LLL for RSA attacking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1112B7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Weeks  8, 9  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MIDTERMS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1112B7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1112B7">
                  <w:pPr>
                    <w:spacing w:line="25" w:lineRule="atLeast"/>
                    <w:jc w:val="both"/>
                  </w:pPr>
                  <w:r>
                    <w:t>Stegan</w:t>
                  </w:r>
                  <w:r w:rsidR="001112B7">
                    <w:t xml:space="preserve">ography </w:t>
                  </w:r>
                  <w:r>
                    <w:t>methods</w:t>
                  </w:r>
                  <w:r w:rsidR="001112B7">
                    <w:t xml:space="preserve"> and attacks on them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1112B7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5" w:lineRule="atLeast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1112B7" w:rsidP="001112B7">
                  <w:pPr>
                    <w:spacing w:line="25" w:lineRule="atLeast"/>
                    <w:jc w:val="both"/>
                  </w:pPr>
                  <w:r>
                    <w:t>Steganography methods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5" w:lineRule="atLeas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1112B7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5" w:lineRule="atLeast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 12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1112B7" w:rsidP="00D76D60">
                  <w:pPr>
                    <w:spacing w:line="25" w:lineRule="atLeast"/>
                    <w:jc w:val="both"/>
                  </w:pPr>
                  <w:r>
                    <w:t>Steganography methods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5" w:lineRule="atLeas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1112B7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5" w:lineRule="atLeast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 13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1112B7">
                  <w:pPr>
                    <w:spacing w:line="25" w:lineRule="atLeast"/>
                    <w:jc w:val="both"/>
                  </w:pPr>
                  <w:proofErr w:type="spellStart"/>
                  <w:r>
                    <w:t>Steganalysis</w:t>
                  </w:r>
                  <w:proofErr w:type="spellEnd"/>
                  <w:r>
                    <w:t xml:space="preserve"> methods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5" w:lineRule="atLeas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1112B7">
              <w:trPr>
                <w:trHeight w:val="29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9" w:lineRule="atLeast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 14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1112B7">
                  <w:pPr>
                    <w:spacing w:line="29" w:lineRule="atLeast"/>
                    <w:jc w:val="both"/>
                  </w:pPr>
                  <w:proofErr w:type="spellStart"/>
                  <w:r>
                    <w:t>Steganalysis</w:t>
                  </w:r>
                  <w:proofErr w:type="spellEnd"/>
                  <w:r>
                    <w:t xml:space="preserve"> methods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9" w:lineRule="atLeas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B1918" w:rsidTr="001112B7">
              <w:trPr>
                <w:trHeight w:val="29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9" w:lineRule="atLeast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Weeks 15-17</w:t>
                  </w:r>
                </w:p>
              </w:tc>
              <w:tc>
                <w:tcPr>
                  <w:tcW w:w="7351" w:type="dxa"/>
                  <w:hideMark/>
                </w:tcPr>
                <w:p w:rsidR="006B1918" w:rsidRDefault="006B1918" w:rsidP="00D76D60">
                  <w:pPr>
                    <w:spacing w:line="29" w:lineRule="atLeast"/>
                    <w:jc w:val="both"/>
                  </w:pPr>
                  <w:r>
                    <w:rPr>
                      <w:sz w:val="20"/>
                      <w:szCs w:val="20"/>
                    </w:rPr>
                    <w:t>FINAL EXAMS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29" w:lineRule="atLeas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B1918" w:rsidRDefault="006B1918" w:rsidP="00D76D60">
            <w:r>
              <w:t> </w:t>
            </w:r>
          </w:p>
        </w:tc>
      </w:tr>
      <w:tr w:rsidR="006B1918" w:rsidTr="00D125B1">
        <w:tc>
          <w:tcPr>
            <w:tcW w:w="2805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6B1918" w:rsidRDefault="006B1918" w:rsidP="006B1918">
      <w:r>
        <w:rPr>
          <w:sz w:val="20"/>
          <w:szCs w:val="20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430"/>
        <w:gridCol w:w="1026"/>
        <w:gridCol w:w="960"/>
        <w:gridCol w:w="3864"/>
      </w:tblGrid>
      <w:tr w:rsidR="006B1918" w:rsidTr="00D76D60">
        <w:trPr>
          <w:trHeight w:val="312"/>
        </w:trPr>
        <w:tc>
          <w:tcPr>
            <w:tcW w:w="9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Lab Schedule (Tentative)</w:t>
            </w:r>
          </w:p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tbl>
            <w:tblPr>
              <w:tblW w:w="90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7823"/>
            </w:tblGrid>
            <w:tr w:rsidR="006B1918" w:rsidTr="00D76D6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Weeks 3-4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1112B7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Implementation of </w:t>
                  </w:r>
                  <w:r w:rsidR="001112B7">
                    <w:rPr>
                      <w:sz w:val="20"/>
                      <w:szCs w:val="20"/>
                    </w:rPr>
                    <w:t>NTRU for integers</w:t>
                  </w:r>
                </w:p>
              </w:tc>
            </w:tr>
            <w:tr w:rsidR="006B1918" w:rsidTr="00D76D6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Weeks 5-6 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1112B7" w:rsidP="00D76D60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Implementation of NTRU for polynomials</w:t>
                  </w:r>
                </w:p>
              </w:tc>
            </w:tr>
            <w:tr w:rsidR="006B1918" w:rsidTr="00D76D6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Weeks 6-7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1112B7" w:rsidP="00D76D60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LLL attack on NTRU for integers</w:t>
                  </w:r>
                </w:p>
              </w:tc>
            </w:tr>
            <w:tr w:rsidR="006B1918" w:rsidTr="00D76D60">
              <w:trPr>
                <w:trHeight w:val="128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spacing w:line="128" w:lineRule="atLeast"/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Weeks 10-11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1112B7" w:rsidP="00D76D60">
                  <w:pPr>
                    <w:spacing w:line="128" w:lineRule="atLeast"/>
                    <w:jc w:val="both"/>
                  </w:pPr>
                  <w:r>
                    <w:rPr>
                      <w:sz w:val="20"/>
                      <w:szCs w:val="20"/>
                    </w:rPr>
                    <w:t>LLL attack on NTRU for polynomials</w:t>
                  </w:r>
                </w:p>
              </w:tc>
            </w:tr>
            <w:tr w:rsidR="006B1918" w:rsidTr="00D76D60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6B1918" w:rsidP="00D76D60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Weeks 12-13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B1918" w:rsidRDefault="001112B7" w:rsidP="00D76D60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RSA</w:t>
                  </w:r>
                </w:p>
              </w:tc>
            </w:tr>
          </w:tbl>
          <w:p w:rsidR="006B1918" w:rsidRDefault="006B1918" w:rsidP="00D76D60">
            <w:pPr>
              <w:jc w:val="both"/>
            </w:pPr>
            <w:r>
              <w:t> 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Pr="00C67F0A" w:rsidRDefault="006B1918" w:rsidP="00D76D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Learning Outcomes</w:t>
            </w:r>
            <w:r w:rsidRPr="00C67F0A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1918" w:rsidRPr="00C67F0A" w:rsidRDefault="006B1918" w:rsidP="00D76D60">
            <w:pPr>
              <w:rPr>
                <w:b/>
                <w:bCs/>
                <w:sz w:val="20"/>
                <w:szCs w:val="20"/>
              </w:rPr>
            </w:pPr>
          </w:p>
          <w:p w:rsidR="006B1918" w:rsidRDefault="006B1918" w:rsidP="00D76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Upon successful completion of the course, s</w:t>
            </w:r>
            <w:r w:rsidRPr="00C67F0A">
              <w:rPr>
                <w:sz w:val="20"/>
                <w:szCs w:val="20"/>
              </w:rPr>
              <w:t>tudents are expected to</w:t>
            </w:r>
            <w:r>
              <w:rPr>
                <w:sz w:val="20"/>
                <w:szCs w:val="20"/>
              </w:rPr>
              <w:t xml:space="preserve"> have the following competencies:</w:t>
            </w:r>
          </w:p>
          <w:p w:rsidR="001112B7" w:rsidRDefault="001112B7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NTRU-like methods</w:t>
            </w:r>
          </w:p>
          <w:p w:rsidR="006B1918" w:rsidRDefault="006B1918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</w:t>
            </w:r>
            <w:r w:rsidR="001112B7">
              <w:rPr>
                <w:sz w:val="20"/>
                <w:szCs w:val="20"/>
              </w:rPr>
              <w:t>lattices and LLL method</w:t>
            </w:r>
          </w:p>
          <w:p w:rsidR="006B1918" w:rsidRDefault="00747210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apply LLL to attack NTRU-like methods</w:t>
            </w:r>
          </w:p>
          <w:p w:rsidR="006B1918" w:rsidRDefault="00747210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RSA method</w:t>
            </w:r>
          </w:p>
          <w:p w:rsidR="006B1918" w:rsidRDefault="00747210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apply LLL for RSA attacking</w:t>
            </w:r>
          </w:p>
          <w:p w:rsidR="006B1918" w:rsidRDefault="006B1918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</w:t>
            </w:r>
            <w:r w:rsidR="00747210">
              <w:rPr>
                <w:sz w:val="20"/>
                <w:szCs w:val="20"/>
              </w:rPr>
              <w:t xml:space="preserve"> spatial  steganography and watermarking methods</w:t>
            </w:r>
          </w:p>
          <w:p w:rsidR="006B1918" w:rsidRDefault="00747210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transformation domain steganography and watermarking methods</w:t>
            </w:r>
          </w:p>
          <w:p w:rsidR="006B1918" w:rsidRDefault="006B1918" w:rsidP="00D76D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</w:t>
            </w:r>
            <w:r w:rsidR="00747210">
              <w:rPr>
                <w:sz w:val="20"/>
                <w:szCs w:val="20"/>
              </w:rPr>
              <w:t>secret sharing methods</w:t>
            </w:r>
          </w:p>
          <w:p w:rsidR="00747210" w:rsidRPr="00747210" w:rsidRDefault="006B1918" w:rsidP="00D76D60">
            <w:pPr>
              <w:pStyle w:val="ListParagraph"/>
              <w:numPr>
                <w:ilvl w:val="0"/>
                <w:numId w:val="1"/>
              </w:numPr>
            </w:pPr>
            <w:r w:rsidRPr="00747210">
              <w:rPr>
                <w:sz w:val="20"/>
                <w:szCs w:val="20"/>
              </w:rPr>
              <w:t xml:space="preserve">To know </w:t>
            </w:r>
            <w:proofErr w:type="spellStart"/>
            <w:r w:rsidRPr="00747210">
              <w:rPr>
                <w:sz w:val="20"/>
                <w:szCs w:val="20"/>
              </w:rPr>
              <w:t>steganalysis</w:t>
            </w:r>
            <w:proofErr w:type="spellEnd"/>
            <w:r w:rsidRPr="00747210">
              <w:rPr>
                <w:sz w:val="20"/>
                <w:szCs w:val="20"/>
              </w:rPr>
              <w:t xml:space="preserve"> method</w:t>
            </w:r>
            <w:r w:rsidR="00747210" w:rsidRPr="00747210">
              <w:rPr>
                <w:sz w:val="20"/>
                <w:szCs w:val="20"/>
              </w:rPr>
              <w:t>s</w:t>
            </w:r>
          </w:p>
          <w:p w:rsidR="006B1918" w:rsidRPr="00AB418A" w:rsidRDefault="006B1918" w:rsidP="00D76D60">
            <w:pPr>
              <w:pStyle w:val="ListParagraph"/>
              <w:numPr>
                <w:ilvl w:val="0"/>
                <w:numId w:val="1"/>
              </w:numPr>
            </w:pPr>
            <w:r w:rsidRPr="00747210">
              <w:rPr>
                <w:sz w:val="20"/>
                <w:szCs w:val="20"/>
              </w:rPr>
              <w:t>Work on the Term project in a team</w:t>
            </w:r>
          </w:p>
          <w:p w:rsidR="006B1918" w:rsidRDefault="006B1918" w:rsidP="00D76D60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Participate in the seminars on the course topics </w:t>
            </w:r>
          </w:p>
        </w:tc>
      </w:tr>
      <w:tr w:rsidR="006B1918" w:rsidTr="00D76D60">
        <w:trPr>
          <w:trHeight w:val="115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6B1918" w:rsidTr="00D76D60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918" w:rsidRDefault="006B1918" w:rsidP="00D76D60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Midterm Exam(s)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20%</w:t>
            </w:r>
          </w:p>
        </w:tc>
      </w:tr>
      <w:tr w:rsidR="006B1918" w:rsidTr="00D76D60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918" w:rsidRDefault="006B1918" w:rsidP="00D76D60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Final Examination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30%</w:t>
            </w:r>
          </w:p>
        </w:tc>
      </w:tr>
      <w:tr w:rsidR="006B1918" w:rsidTr="00D76D60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18" w:rsidRDefault="006B1918" w:rsidP="00D76D60">
            <w:pPr>
              <w:spacing w:line="115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work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6B1918" w:rsidTr="00D76D60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Attendance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0%</w:t>
            </w:r>
          </w:p>
        </w:tc>
      </w:tr>
      <w:tr w:rsidR="006B1918" w:rsidTr="00D76D60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918" w:rsidRDefault="006B1918" w:rsidP="00D76D60">
            <w:pPr>
              <w:spacing w:line="115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6B1918" w:rsidTr="00D76D60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Term project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spacing w:line="115" w:lineRule="atLeast"/>
            </w:pPr>
            <w:r>
              <w:rPr>
                <w:sz w:val="20"/>
                <w:szCs w:val="20"/>
              </w:rPr>
              <w:t>20%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color w:val="000000"/>
                <w:sz w:val="18"/>
                <w:szCs w:val="18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Attendance grade:</w:t>
            </w:r>
          </w:p>
          <w:p w:rsidR="006B1918" w:rsidRDefault="006B1918" w:rsidP="00D76D60">
            <w:r>
              <w:rPr>
                <w:color w:val="000000"/>
                <w:sz w:val="18"/>
                <w:szCs w:val="18"/>
              </w:rPr>
              <w:t>No grade will be given. However, it is compulsory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Policy on makeups: </w:t>
            </w:r>
            <w:r>
              <w:rPr>
                <w:sz w:val="20"/>
                <w:szCs w:val="20"/>
              </w:rPr>
              <w:t>For eligibility to take a makeup exam, the student should bring a doctor's report within 3 working days of the missed exam.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Policy on the NG grade: </w:t>
            </w:r>
            <w:r>
              <w:rPr>
                <w:sz w:val="20"/>
                <w:szCs w:val="20"/>
              </w:rPr>
              <w:t xml:space="preserve">If more than 20% of </w:t>
            </w:r>
            <w:proofErr w:type="gramStart"/>
            <w:r>
              <w:rPr>
                <w:sz w:val="20"/>
                <w:szCs w:val="20"/>
              </w:rPr>
              <w:t>classes</w:t>
            </w:r>
            <w:proofErr w:type="gramEnd"/>
            <w:r>
              <w:rPr>
                <w:sz w:val="20"/>
                <w:szCs w:val="20"/>
              </w:rPr>
              <w:t xml:space="preserve"> missed and/or poor performance is shown in assignments (including exams), NG grade may be given.</w:t>
            </w:r>
          </w:p>
          <w:p w:rsidR="006B1918" w:rsidRDefault="006B1918" w:rsidP="00D76D60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6B1918" w:rsidTr="00D76D6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Policy on missed seminars and labs: </w:t>
            </w:r>
            <w:r>
              <w:rPr>
                <w:sz w:val="20"/>
                <w:szCs w:val="20"/>
              </w:rPr>
              <w:t xml:space="preserve">There will be no makeup for missed </w:t>
            </w:r>
            <w:r>
              <w:rPr>
                <w:sz w:val="18"/>
                <w:szCs w:val="18"/>
              </w:rPr>
              <w:t>seminar</w:t>
            </w:r>
            <w:r>
              <w:rPr>
                <w:sz w:val="20"/>
                <w:szCs w:val="20"/>
              </w:rPr>
              <w:t>s and labs.</w:t>
            </w:r>
          </w:p>
          <w:p w:rsidR="006B1918" w:rsidRDefault="006B1918" w:rsidP="00D76D60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6B1918" w:rsidTr="00D76D60">
        <w:trPr>
          <w:trHeight w:val="1763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sz w:val="20"/>
                <w:szCs w:val="20"/>
              </w:rPr>
              <w:t> </w:t>
            </w:r>
          </w:p>
          <w:p w:rsidR="006B1918" w:rsidRPr="00C67F0A" w:rsidRDefault="006B1918" w:rsidP="00D76D60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Relationship of</w:t>
            </w:r>
            <w:r>
              <w:rPr>
                <w:b/>
                <w:bCs/>
                <w:sz w:val="20"/>
                <w:szCs w:val="20"/>
              </w:rPr>
              <w:t xml:space="preserve"> the c</w:t>
            </w:r>
            <w:r w:rsidRPr="00C67F0A">
              <w:rPr>
                <w:b/>
                <w:bCs/>
                <w:sz w:val="20"/>
                <w:szCs w:val="20"/>
              </w:rPr>
              <w:t xml:space="preserve">ourse to </w:t>
            </w:r>
            <w:r>
              <w:rPr>
                <w:b/>
                <w:bCs/>
                <w:sz w:val="20"/>
                <w:szCs w:val="20"/>
              </w:rPr>
              <w:t>Student</w:t>
            </w:r>
            <w:r w:rsidRPr="00C67F0A">
              <w:rPr>
                <w:b/>
                <w:bCs/>
                <w:sz w:val="20"/>
                <w:szCs w:val="20"/>
              </w:rPr>
              <w:t xml:space="preserve"> Outcomes</w:t>
            </w:r>
          </w:p>
          <w:p w:rsidR="006B1918" w:rsidRPr="00C67F0A" w:rsidRDefault="006B1918" w:rsidP="00D76D60">
            <w:pPr>
              <w:rPr>
                <w:b/>
                <w:bCs/>
                <w:sz w:val="20"/>
                <w:szCs w:val="20"/>
              </w:rPr>
            </w:pPr>
          </w:p>
          <w:p w:rsidR="006B1918" w:rsidRDefault="006B1918" w:rsidP="00D76D60">
            <w:pPr>
              <w:jc w:val="both"/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 xml:space="preserve">The course has been designed to contribute  to the following </w:t>
            </w:r>
            <w:r>
              <w:rPr>
                <w:bCs/>
                <w:sz w:val="20"/>
                <w:szCs w:val="20"/>
              </w:rPr>
              <w:t>student</w:t>
            </w:r>
            <w:r w:rsidRPr="00C67F0A">
              <w:rPr>
                <w:bCs/>
                <w:sz w:val="20"/>
                <w:szCs w:val="20"/>
              </w:rPr>
              <w:t xml:space="preserve"> outcomes:</w:t>
            </w:r>
          </w:p>
          <w:p w:rsidR="006B1918" w:rsidRDefault="006B1918" w:rsidP="00D76D60">
            <w:pP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</w:pP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1. </w:t>
            </w:r>
            <w:r w:rsidRPr="004F6FE9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an</w:t>
            </w:r>
            <w:proofErr w:type="gramEnd"/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ability to identify, formulate, and solve complex engineering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problems by applying principles of engineering, science, and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mathematics</w:t>
            </w:r>
            <w:r w:rsidRPr="004F6FE9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2. an ability to apply engineering design to produce solutions that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m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eet specified needs with consideration of public health, safety, and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welfare, as well as global, cultural, social, environmental, and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conomic factors</w:t>
            </w:r>
          </w:p>
          <w:p w:rsidR="006B1918" w:rsidRPr="00544315" w:rsidRDefault="006B1918" w:rsidP="00D76D60">
            <w:pPr>
              <w:rPr>
                <w:sz w:val="20"/>
                <w:szCs w:val="20"/>
              </w:rPr>
            </w:pPr>
            <w:r w:rsidRPr="004B1B93">
              <w:rPr>
                <w:color w:val="333333"/>
                <w:sz w:val="20"/>
                <w:szCs w:val="20"/>
                <w:shd w:val="clear" w:color="auto" w:fill="FFFFFF"/>
              </w:rPr>
              <w:t xml:space="preserve">3. </w:t>
            </w:r>
            <w:proofErr w:type="gramStart"/>
            <w:r w:rsidRPr="004B1B93">
              <w:rPr>
                <w:color w:val="333333"/>
                <w:sz w:val="20"/>
                <w:szCs w:val="20"/>
                <w:shd w:val="clear" w:color="auto" w:fill="FFFFFF"/>
              </w:rPr>
              <w:t>an</w:t>
            </w:r>
            <w:proofErr w:type="gramEnd"/>
            <w:r w:rsidRPr="004B1B93">
              <w:rPr>
                <w:color w:val="333333"/>
                <w:sz w:val="20"/>
                <w:szCs w:val="20"/>
                <w:shd w:val="clear" w:color="auto" w:fill="FFFFFF"/>
              </w:rPr>
              <w:t xml:space="preserve"> ability to communicate effectively with a range of audiences</w:t>
            </w:r>
            <w:r w:rsidRPr="004F6FE9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5. an ability to function effectively on a team whose members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together provide leadership, create a collaborative and inclusive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environment, establish goals, plan tasks, and meet objectives</w:t>
            </w:r>
          </w:p>
          <w:p w:rsidR="006B1918" w:rsidRDefault="006B1918" w:rsidP="00D76D60"/>
        </w:tc>
      </w:tr>
      <w:tr w:rsidR="006B1918" w:rsidTr="00D76D60">
        <w:trPr>
          <w:trHeight w:val="312"/>
        </w:trPr>
        <w:tc>
          <w:tcPr>
            <w:tcW w:w="4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 xml:space="preserve">Prepared by: </w:t>
            </w:r>
            <w:r>
              <w:rPr>
                <w:sz w:val="20"/>
                <w:szCs w:val="20"/>
              </w:rPr>
              <w:t>Assoc.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Prof. Dr. Alexander </w:t>
            </w:r>
            <w:proofErr w:type="spellStart"/>
            <w:r>
              <w:rPr>
                <w:sz w:val="20"/>
                <w:szCs w:val="20"/>
              </w:rPr>
              <w:t>Chefranov</w:t>
            </w:r>
            <w:proofErr w:type="spellEnd"/>
          </w:p>
          <w:p w:rsidR="006B1918" w:rsidRDefault="006B1918" w:rsidP="00D76D60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918" w:rsidRDefault="006B1918" w:rsidP="00747210">
            <w:r>
              <w:rPr>
                <w:b/>
                <w:bCs/>
                <w:sz w:val="20"/>
                <w:szCs w:val="20"/>
              </w:rPr>
              <w:t xml:space="preserve">Date Prepared: </w:t>
            </w:r>
            <w:r w:rsidR="0074721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747210">
              <w:rPr>
                <w:sz w:val="20"/>
                <w:szCs w:val="20"/>
              </w:rPr>
              <w:t>September</w:t>
            </w:r>
            <w:r w:rsidR="00280110">
              <w:rPr>
                <w:sz w:val="20"/>
                <w:szCs w:val="20"/>
              </w:rPr>
              <w:t xml:space="preserve"> 2019</w:t>
            </w:r>
          </w:p>
        </w:tc>
      </w:tr>
      <w:tr w:rsidR="006B1918" w:rsidTr="00D76D60">
        <w:tc>
          <w:tcPr>
            <w:tcW w:w="1365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6B1918" w:rsidRDefault="006B1918" w:rsidP="00D76D60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6B1918" w:rsidRDefault="006B1918" w:rsidP="006B1918">
      <w:r>
        <w:t> </w:t>
      </w:r>
    </w:p>
    <w:p w:rsidR="006B1918" w:rsidRDefault="006B1918" w:rsidP="006B1918"/>
    <w:p w:rsidR="00D17D99" w:rsidRDefault="00663DAB"/>
    <w:sectPr w:rsidR="00D1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F5D"/>
    <w:multiLevelType w:val="hybridMultilevel"/>
    <w:tmpl w:val="A01CCB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18"/>
    <w:rsid w:val="001112B7"/>
    <w:rsid w:val="00280110"/>
    <w:rsid w:val="003D2B07"/>
    <w:rsid w:val="00655BEF"/>
    <w:rsid w:val="00663DAB"/>
    <w:rsid w:val="00681092"/>
    <w:rsid w:val="006B1918"/>
    <w:rsid w:val="00747210"/>
    <w:rsid w:val="009F3A7C"/>
    <w:rsid w:val="00B46CB2"/>
    <w:rsid w:val="00BC036E"/>
    <w:rsid w:val="00CF12F9"/>
    <w:rsid w:val="00D125B1"/>
    <w:rsid w:val="00F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B1918"/>
  </w:style>
  <w:style w:type="paragraph" w:styleId="ListParagraph">
    <w:name w:val="List Paragraph"/>
    <w:basedOn w:val="Normal"/>
    <w:uiPriority w:val="34"/>
    <w:qFormat/>
    <w:rsid w:val="006B1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B1918"/>
  </w:style>
  <w:style w:type="paragraph" w:styleId="ListParagraph">
    <w:name w:val="List Paragraph"/>
    <w:basedOn w:val="Normal"/>
    <w:uiPriority w:val="34"/>
    <w:qFormat/>
    <w:rsid w:val="006B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F996F-881A-42AF-967C-068788C1EDD0}"/>
</file>

<file path=customXml/itemProps2.xml><?xml version="1.0" encoding="utf-8"?>
<ds:datastoreItem xmlns:ds="http://schemas.openxmlformats.org/officeDocument/2006/customXml" ds:itemID="{41C2FD6C-35C9-4CD5-9E8B-C7826AAFADC3}"/>
</file>

<file path=customXml/itemProps3.xml><?xml version="1.0" encoding="utf-8"?>
<ds:datastoreItem xmlns:ds="http://schemas.openxmlformats.org/officeDocument/2006/customXml" ds:itemID="{5B8F3867-F344-42F9-8E7E-F55096D67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2019-12-04T13:26:00Z</dcterms:created>
  <dcterms:modified xsi:type="dcterms:W3CDTF">2019-12-04T13:26:00Z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