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7A" w:rsidRDefault="00666C7A" w:rsidP="00666C7A">
      <w:pPr>
        <w:rPr>
          <w:rFonts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6227"/>
        <w:gridCol w:w="1475"/>
      </w:tblGrid>
      <w:tr w:rsidR="00666C7A" w:rsidRPr="002D4B16" w:rsidTr="003C1768">
        <w:tc>
          <w:tcPr>
            <w:tcW w:w="1370" w:type="dxa"/>
            <w:vAlign w:val="center"/>
          </w:tcPr>
          <w:p w:rsidR="00666C7A" w:rsidRPr="002D4B16" w:rsidRDefault="00666C7A" w:rsidP="003C176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660D28B2" wp14:editId="21DF23A3">
                  <wp:extent cx="714375" cy="714375"/>
                  <wp:effectExtent l="0" t="0" r="9525" b="9525"/>
                  <wp:docPr id="18" name="Picture 18" descr="dau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u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666C7A" w:rsidRPr="00846083" w:rsidRDefault="00666C7A" w:rsidP="003C176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846083">
              <w:rPr>
                <w:b/>
                <w:sz w:val="20"/>
                <w:szCs w:val="20"/>
                <w:lang w:val="en-GB"/>
              </w:rPr>
              <w:t xml:space="preserve">DOĞU AKDENİZ ÜNİVERSİTESİ / EASTERN MEDITERRANEAN UNIVERSITY </w:t>
            </w:r>
          </w:p>
          <w:p w:rsidR="00666C7A" w:rsidRPr="00846083" w:rsidRDefault="00666C7A" w:rsidP="003C17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BİYOMEDİKAL CİHAZ TEKNOLOJİSİ</w:t>
            </w:r>
            <w:r w:rsidRPr="00846083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 xml:space="preserve">BIOMEDICAL EQUIPMENT TECHNOLOGY </w:t>
            </w:r>
          </w:p>
          <w:p w:rsidR="00666C7A" w:rsidRPr="002D4B16" w:rsidRDefault="00666C7A" w:rsidP="003C176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46083">
              <w:rPr>
                <w:rFonts w:cs="Arial"/>
                <w:b/>
                <w:sz w:val="20"/>
                <w:szCs w:val="16"/>
              </w:rPr>
              <w:t>DERS İÇERİĞİ / COURSE POLICY SHEET</w:t>
            </w:r>
          </w:p>
        </w:tc>
        <w:tc>
          <w:tcPr>
            <w:tcW w:w="1475" w:type="dxa"/>
          </w:tcPr>
          <w:p w:rsidR="00666C7A" w:rsidRPr="002D4B16" w:rsidRDefault="00666C7A" w:rsidP="003C1768">
            <w:pPr>
              <w:spacing w:after="8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666C7A" w:rsidRPr="002D4B16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6236"/>
      </w:tblGrid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Ders Adı / Course Title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7A" w:rsidRDefault="00666C7A" w:rsidP="003C176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Tıbbi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Uygulamalar</w:t>
            </w:r>
            <w:proofErr w:type="spellEnd"/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Ders Adı / Course Title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7A" w:rsidRDefault="00666C7A" w:rsidP="003C1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Medical Applications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Ders Kodu / Course Code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BMET 264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Tipi / Type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Tam Zamanlı / Full Time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Yarıyıl / Semester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A809DF" w:rsidP="003C1768">
            <w:pPr>
              <w:spacing w:before="40" w:after="4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2019-2020</w:t>
            </w:r>
            <w:r w:rsidR="00666C7A">
              <w:rPr>
                <w:rFonts w:cs="Calibri"/>
                <w:sz w:val="20"/>
                <w:szCs w:val="20"/>
              </w:rPr>
              <w:t xml:space="preserve"> Bahar/ Spring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Türü / Category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Bölüm Temel /Area Core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İş Yükü / Workload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600 Saat / 600 Hours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DAU Kredi Değeri / EMU Credit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(0,0,0) 3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Ön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Koşullar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/ </w:t>
            </w:r>
            <w:r>
              <w:rPr>
                <w:rFonts w:cs="Calibri"/>
                <w:b/>
                <w:sz w:val="20"/>
                <w:szCs w:val="20"/>
              </w:rPr>
              <w:t>Prerequisite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7A" w:rsidRDefault="00666C7A" w:rsidP="003C176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Dil / Language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Türkçe / Turkish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Seviye / Level 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İkinci Yıl / Second  Year 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Öğretim Formatı / Teaching Format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 Saat Ders / 3 Hours Lecture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ECTS Değeri / ECTS Credit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</w:tr>
      <w:tr w:rsidR="00666C7A" w:rsidTr="003C176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Ders Sitesi /  Course Web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C7A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2F4F">
              <w:rPr>
                <w:sz w:val="20"/>
                <w:szCs w:val="20"/>
                <w:lang w:val="en-GB"/>
              </w:rPr>
              <w:t>https://staff.emu.edu.tr/alimurat/tr/dersler/bmet-264</w:t>
            </w:r>
          </w:p>
        </w:tc>
      </w:tr>
    </w:tbl>
    <w:p w:rsidR="00666C7A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p w:rsidR="00666C7A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3118"/>
        <w:gridCol w:w="1843"/>
        <w:gridCol w:w="1963"/>
      </w:tblGrid>
      <w:tr w:rsidR="00666C7A" w:rsidRPr="009D53A9" w:rsidTr="003C1768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6C7A" w:rsidRPr="009D53A9" w:rsidRDefault="00666C7A" w:rsidP="003C1768">
            <w:pPr>
              <w:spacing w:before="40" w:after="40" w:line="240" w:lineRule="auto"/>
              <w:ind w:right="-13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Öğretim Elemanı / Instructor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7A" w:rsidRPr="009D53A9" w:rsidRDefault="00666C7A" w:rsidP="003C1768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Ali Murat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6C7A" w:rsidRPr="003F5A25" w:rsidRDefault="00666C7A" w:rsidP="003C1768">
            <w:pPr>
              <w:spacing w:before="40" w:after="40" w:line="240" w:lineRule="auto"/>
              <w:ind w:right="62"/>
              <w:rPr>
                <w:rFonts w:cs="Calibri"/>
                <w:b/>
                <w:sz w:val="20"/>
                <w:szCs w:val="20"/>
              </w:rPr>
            </w:pPr>
            <w:r w:rsidRPr="003F5A25">
              <w:rPr>
                <w:rFonts w:cs="Calibri"/>
                <w:b/>
                <w:sz w:val="20"/>
                <w:szCs w:val="20"/>
              </w:rPr>
              <w:t xml:space="preserve">Ofis Tel / Office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7A" w:rsidRPr="009D53A9" w:rsidRDefault="00666C7A" w:rsidP="003C1768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+90 392 6301441</w:t>
            </w:r>
          </w:p>
        </w:tc>
      </w:tr>
      <w:tr w:rsidR="00666C7A" w:rsidRPr="009D53A9" w:rsidTr="003C1768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6C7A" w:rsidRPr="009D53A9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E-posta / E-mail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7A" w:rsidRPr="009D53A9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ali.murat</w:t>
            </w:r>
            <w:r w:rsidRPr="00533C20">
              <w:rPr>
                <w:rFonts w:cs="Calibri"/>
                <w:sz w:val="20"/>
                <w:szCs w:val="20"/>
              </w:rPr>
              <w:t>@emu.edu.tr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6C7A" w:rsidRPr="009D53A9" w:rsidRDefault="00666C7A" w:rsidP="003C176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Ofis No /Office No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7A" w:rsidRPr="009D53A9" w:rsidRDefault="00666C7A" w:rsidP="003C1768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CT100</w:t>
            </w:r>
          </w:p>
        </w:tc>
      </w:tr>
    </w:tbl>
    <w:p w:rsidR="00666C7A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p w:rsidR="00666C7A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p w:rsidR="00666C7A" w:rsidRPr="002D4B16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666C7A" w:rsidRPr="002D4B16" w:rsidTr="003C1768">
        <w:tc>
          <w:tcPr>
            <w:tcW w:w="9493" w:type="dxa"/>
            <w:shd w:val="pct15" w:color="auto" w:fill="auto"/>
          </w:tcPr>
          <w:p w:rsidR="00666C7A" w:rsidRPr="002D4B16" w:rsidRDefault="00666C7A" w:rsidP="003C176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Ders İçeriği / </w:t>
            </w:r>
            <w:r w:rsidRPr="002D4B16">
              <w:rPr>
                <w:rFonts w:cs="Arial"/>
                <w:b/>
                <w:sz w:val="16"/>
                <w:szCs w:val="16"/>
              </w:rPr>
              <w:t>Course Description</w:t>
            </w:r>
          </w:p>
        </w:tc>
      </w:tr>
      <w:tr w:rsidR="00666C7A" w:rsidRPr="003E32B2" w:rsidTr="003C1768">
        <w:tc>
          <w:tcPr>
            <w:tcW w:w="9493" w:type="dxa"/>
          </w:tcPr>
          <w:p w:rsidR="00666C7A" w:rsidRDefault="00666C7A" w:rsidP="003C176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Turkish:</w:t>
            </w:r>
          </w:p>
          <w:p w:rsidR="00666C7A" w:rsidRDefault="00666C7A" w:rsidP="003C176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Biyomedikal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Teknisyenliği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öğrencileri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IV.nci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yarı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yıl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sonunda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özel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veya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kamuya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ait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hastanelerde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haftanın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3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iş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günü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olarak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sonuna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kadar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tıbbi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cihazların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bakımı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onarımını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yapan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firmalarda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eğitimleri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sırasında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öğrendiklerinin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uygulamalarını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yaparlar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sonu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ise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denetmenleri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akademik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eğitmenleri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tarafından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sınanırlar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66C7A" w:rsidRDefault="00666C7A" w:rsidP="003C176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666C7A" w:rsidRDefault="00666C7A" w:rsidP="003C176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English:</w:t>
            </w:r>
          </w:p>
          <w:p w:rsidR="00666C7A" w:rsidRPr="006A24DC" w:rsidRDefault="00666C7A" w:rsidP="003C1768">
            <w:pPr>
              <w:spacing w:before="60" w:after="60" w:line="24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required to perform jobs related with field of study three times a week and to learn organization and management of hospital and troubleshooting techniques in a biomedical workshop at a hospital with the rules and regulations set by the department. They are examined by their instructor at the end of the semester.</w:t>
            </w:r>
          </w:p>
        </w:tc>
      </w:tr>
    </w:tbl>
    <w:p w:rsidR="00666C7A" w:rsidRPr="002D4B16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666C7A" w:rsidRPr="002D4B16" w:rsidTr="003C1768">
        <w:tc>
          <w:tcPr>
            <w:tcW w:w="9493" w:type="dxa"/>
            <w:shd w:val="pct15" w:color="auto" w:fill="auto"/>
          </w:tcPr>
          <w:p w:rsidR="00666C7A" w:rsidRPr="002D4B16" w:rsidRDefault="00666C7A" w:rsidP="003C176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Öğrenme Çıktıları / </w:t>
            </w:r>
            <w:r w:rsidRPr="002D4B16">
              <w:rPr>
                <w:rFonts w:cs="Arial"/>
                <w:b/>
                <w:sz w:val="16"/>
                <w:szCs w:val="16"/>
              </w:rPr>
              <w:t>General Learning Outcomes</w:t>
            </w:r>
          </w:p>
        </w:tc>
      </w:tr>
      <w:tr w:rsidR="00666C7A" w:rsidRPr="002D4B16" w:rsidTr="003C1768">
        <w:tc>
          <w:tcPr>
            <w:tcW w:w="9493" w:type="dxa"/>
          </w:tcPr>
          <w:p w:rsidR="00666C7A" w:rsidRDefault="00666C7A" w:rsidP="003C176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Turkish</w:t>
            </w:r>
          </w:p>
          <w:p w:rsidR="00666C7A" w:rsidRDefault="00666C7A" w:rsidP="003C176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 </w:t>
            </w:r>
            <w:proofErr w:type="spellStart"/>
            <w:r>
              <w:rPr>
                <w:sz w:val="20"/>
                <w:szCs w:val="20"/>
                <w:lang w:val="en-GB"/>
              </w:rPr>
              <w:t>dersi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başarıyla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tamamlayan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öğrenciler</w:t>
            </w:r>
            <w:proofErr w:type="spellEnd"/>
            <w:r>
              <w:rPr>
                <w:sz w:val="20"/>
                <w:szCs w:val="20"/>
                <w:lang w:val="en-GB"/>
              </w:rPr>
              <w:t>:</w:t>
            </w:r>
          </w:p>
          <w:p w:rsidR="00AA00B8" w:rsidRPr="00AA00B8" w:rsidRDefault="00AA00B8" w:rsidP="00AA00B8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eastAsia="Calibri"/>
                <w:sz w:val="20"/>
                <w:szCs w:val="20"/>
                <w:lang w:val="en-GB"/>
              </w:rPr>
            </w:pP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Hastanenin</w:t>
            </w:r>
            <w:proofErr w:type="spellEnd"/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809DF">
              <w:rPr>
                <w:rFonts w:eastAsia="Calibri"/>
                <w:sz w:val="20"/>
                <w:szCs w:val="20"/>
                <w:lang w:val="en-GB"/>
              </w:rPr>
              <w:t>çeşitli</w:t>
            </w:r>
            <w:proofErr w:type="spellEnd"/>
            <w:r w:rsidR="00A809D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servislerindeki</w:t>
            </w:r>
            <w:proofErr w:type="spellEnd"/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farklı</w:t>
            </w:r>
            <w:proofErr w:type="spellEnd"/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kategori</w:t>
            </w:r>
            <w:r w:rsidR="008B208D">
              <w:rPr>
                <w:rFonts w:eastAsia="Calibri"/>
                <w:sz w:val="20"/>
                <w:szCs w:val="20"/>
                <w:lang w:val="en-GB"/>
              </w:rPr>
              <w:t>ler</w:t>
            </w:r>
            <w:r w:rsidRPr="00AA00B8">
              <w:rPr>
                <w:rFonts w:eastAsia="Calibri"/>
                <w:sz w:val="20"/>
                <w:szCs w:val="20"/>
                <w:lang w:val="en-GB"/>
              </w:rPr>
              <w:t>deki</w:t>
            </w:r>
            <w:proofErr w:type="spellEnd"/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cihazların</w:t>
            </w:r>
            <w:proofErr w:type="spellEnd"/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208D">
              <w:rPr>
                <w:rFonts w:eastAsia="Calibri"/>
                <w:sz w:val="20"/>
                <w:szCs w:val="20"/>
                <w:lang w:val="en-GB"/>
              </w:rPr>
              <w:t>çalışma</w:t>
            </w:r>
            <w:proofErr w:type="spellEnd"/>
            <w:r w:rsidR="008B208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208D">
              <w:rPr>
                <w:rFonts w:eastAsia="Calibri"/>
                <w:sz w:val="20"/>
                <w:szCs w:val="20"/>
                <w:lang w:val="en-GB"/>
              </w:rPr>
              <w:t>prensiplerini</w:t>
            </w:r>
            <w:proofErr w:type="spellEnd"/>
            <w:r w:rsidR="008B208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öğrenir</w:t>
            </w:r>
            <w:proofErr w:type="spellEnd"/>
          </w:p>
          <w:p w:rsidR="00B5017C" w:rsidRPr="00B5017C" w:rsidRDefault="00B5017C" w:rsidP="00AA00B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Hastanadeki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organizasyonu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öğrenir</w:t>
            </w:r>
            <w:proofErr w:type="spellEnd"/>
          </w:p>
          <w:p w:rsidR="00AA00B8" w:rsidRDefault="00AA00B8" w:rsidP="00AA00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Bir</w:t>
            </w:r>
            <w:proofErr w:type="spellEnd"/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hastanen</w:t>
            </w:r>
            <w:r>
              <w:rPr>
                <w:rFonts w:eastAsia="Calibri"/>
                <w:sz w:val="20"/>
                <w:szCs w:val="20"/>
                <w:lang w:val="en-GB"/>
              </w:rPr>
              <w:t>in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Teknik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Servisinde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bakım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onarım</w:t>
            </w:r>
            <w:proofErr w:type="spellEnd"/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tekniklerini</w:t>
            </w:r>
            <w:proofErr w:type="spellEnd"/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0B8">
              <w:rPr>
                <w:rFonts w:eastAsia="Calibri"/>
                <w:sz w:val="20"/>
                <w:szCs w:val="20"/>
                <w:lang w:val="en-GB"/>
              </w:rPr>
              <w:t>öğrenir</w:t>
            </w:r>
            <w:proofErr w:type="spellEnd"/>
          </w:p>
          <w:p w:rsidR="00666C7A" w:rsidRDefault="00EE1DC0" w:rsidP="00AA00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lastRenderedPageBreak/>
              <w:t>Yoğun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bakım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servisindeki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cihazların</w:t>
            </w:r>
            <w:proofErr w:type="spellEnd"/>
            <w:r w:rsidR="00666C7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6C7A">
              <w:rPr>
                <w:rFonts w:eastAsia="Calibri"/>
                <w:sz w:val="20"/>
                <w:szCs w:val="20"/>
                <w:lang w:val="en-GB"/>
              </w:rPr>
              <w:t>servis</w:t>
            </w:r>
            <w:proofErr w:type="spellEnd"/>
            <w:r w:rsidR="00666C7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6C7A">
              <w:rPr>
                <w:rFonts w:eastAsia="Calibri"/>
                <w:sz w:val="20"/>
                <w:szCs w:val="20"/>
                <w:lang w:val="en-GB"/>
              </w:rPr>
              <w:t>ve</w:t>
            </w:r>
            <w:proofErr w:type="spellEnd"/>
            <w:r w:rsidR="00666C7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A00B8">
              <w:rPr>
                <w:rFonts w:eastAsia="Calibri"/>
                <w:sz w:val="20"/>
                <w:szCs w:val="20"/>
                <w:lang w:val="en-GB"/>
              </w:rPr>
              <w:t>kalibrasyonlarını</w:t>
            </w:r>
            <w:proofErr w:type="spellEnd"/>
            <w:r w:rsidR="00666C7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6C7A">
              <w:rPr>
                <w:rFonts w:eastAsia="Calibri"/>
                <w:sz w:val="20"/>
                <w:szCs w:val="20"/>
                <w:lang w:val="en-GB"/>
              </w:rPr>
              <w:t>öğrenir</w:t>
            </w:r>
            <w:proofErr w:type="spellEnd"/>
          </w:p>
          <w:p w:rsidR="00666C7A" w:rsidRDefault="00666C7A" w:rsidP="00666C7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Takım çalışması yapmak </w:t>
            </w:r>
          </w:p>
          <w:p w:rsidR="00666C7A" w:rsidRDefault="00666C7A" w:rsidP="00666C7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Kişisel sorumluluk almak</w:t>
            </w:r>
          </w:p>
          <w:p w:rsidR="00666C7A" w:rsidRDefault="00666C7A" w:rsidP="00666C7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Doğru karar vermek</w:t>
            </w:r>
          </w:p>
          <w:p w:rsidR="00666C7A" w:rsidRDefault="00666C7A" w:rsidP="00666C7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 yazmak</w:t>
            </w:r>
            <w:r w:rsidR="00FC741B">
              <w:rPr>
                <w:sz w:val="20"/>
                <w:szCs w:val="20"/>
              </w:rPr>
              <w:t xml:space="preserve"> </w:t>
            </w:r>
          </w:p>
          <w:p w:rsidR="00666C7A" w:rsidRDefault="00666C7A" w:rsidP="003C1768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666C7A" w:rsidRDefault="00666C7A" w:rsidP="003C176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English</w:t>
            </w: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ab/>
              <w:t>.</w:t>
            </w:r>
          </w:p>
          <w:p w:rsidR="00666C7A" w:rsidRPr="0074020C" w:rsidRDefault="00666C7A" w:rsidP="003C1768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74020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After successful completion of the course the students learns and apply the concepts below:</w:t>
            </w:r>
          </w:p>
          <w:p w:rsidR="008B208D" w:rsidRPr="008B208D" w:rsidRDefault="00A809DF" w:rsidP="008B208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Learns the working</w:t>
            </w:r>
            <w:bookmarkStart w:id="0" w:name="_GoBack"/>
            <w:bookmarkEnd w:id="0"/>
            <w:r w:rsidR="008B208D" w:rsidRPr="008B208D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principles of</w:t>
            </w:r>
            <w:r w:rsidR="00D77746" w:rsidRPr="008B208D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different categories</w:t>
            </w:r>
            <w:r w:rsidR="00D77746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of</w:t>
            </w:r>
            <w:r w:rsidR="008B208D" w:rsidRPr="008B208D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devices </w:t>
            </w:r>
            <w:r w:rsidR="00D77746">
              <w:rPr>
                <w:rFonts w:ascii="Calibri" w:eastAsia="Calibri" w:hAnsi="Calibri"/>
                <w:sz w:val="20"/>
                <w:szCs w:val="20"/>
                <w:lang w:val="en-GB"/>
              </w:rPr>
              <w:t>in various</w:t>
            </w:r>
            <w:r w:rsidR="008B208D" w:rsidRPr="008B208D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departments of the hospital.</w:t>
            </w:r>
          </w:p>
          <w:p w:rsidR="00666C7A" w:rsidRPr="00B5017C" w:rsidRDefault="00AA00B8" w:rsidP="008B208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Learns </w:t>
            </w:r>
            <w:r w:rsidR="00666C7A">
              <w:rPr>
                <w:rFonts w:ascii="Calibri" w:eastAsia="Calibri" w:hAnsi="Calibri"/>
                <w:sz w:val="20"/>
                <w:szCs w:val="20"/>
                <w:lang w:val="en-GB"/>
              </w:rPr>
              <w:t>Organization and management of hospital</w:t>
            </w:r>
          </w:p>
          <w:p w:rsidR="00666C7A" w:rsidRPr="00B5017C" w:rsidRDefault="00AA00B8" w:rsidP="00AA00B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Learns t</w:t>
            </w:r>
            <w:r w:rsidR="00666C7A" w:rsidRPr="00B5017C">
              <w:rPr>
                <w:rFonts w:eastAsia="Calibri"/>
                <w:sz w:val="20"/>
                <w:szCs w:val="20"/>
                <w:lang w:val="en-GB"/>
              </w:rPr>
              <w:t xml:space="preserve">roubleshooting techniques in a </w:t>
            </w:r>
            <w:r>
              <w:rPr>
                <w:rFonts w:eastAsia="Calibri"/>
                <w:sz w:val="20"/>
                <w:szCs w:val="20"/>
                <w:lang w:val="en-GB"/>
              </w:rPr>
              <w:t>T</w:t>
            </w:r>
            <w:r w:rsidRPr="00AA00B8">
              <w:rPr>
                <w:rFonts w:eastAsia="Calibri"/>
                <w:sz w:val="20"/>
                <w:szCs w:val="20"/>
                <w:lang w:val="en-GB"/>
              </w:rPr>
              <w:t>echnical Services Department</w:t>
            </w:r>
            <w:r>
              <w:rPr>
                <w:rFonts w:eastAsia="Calibri"/>
                <w:sz w:val="20"/>
                <w:szCs w:val="20"/>
                <w:lang w:val="en-GB"/>
              </w:rPr>
              <w:t xml:space="preserve"> of a hospital</w:t>
            </w:r>
          </w:p>
          <w:p w:rsidR="00AA00B8" w:rsidRDefault="00AA00B8" w:rsidP="00AA00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Learns the service and calibration</w:t>
            </w:r>
            <w:r w:rsidRPr="00AA00B8">
              <w:rPr>
                <w:rFonts w:eastAsia="Calibri"/>
                <w:sz w:val="20"/>
                <w:szCs w:val="20"/>
                <w:lang w:val="en-GB"/>
              </w:rPr>
              <w:t xml:space="preserve"> of the devices in the intensive care unit</w:t>
            </w:r>
          </w:p>
          <w:p w:rsidR="00666C7A" w:rsidRDefault="00666C7A" w:rsidP="00AA00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Team Working</w:t>
            </w:r>
          </w:p>
          <w:p w:rsidR="00666C7A" w:rsidRDefault="00666C7A" w:rsidP="00666C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Personal Responsibility</w:t>
            </w:r>
          </w:p>
          <w:p w:rsidR="00666C7A" w:rsidRDefault="00666C7A" w:rsidP="00666C7A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Correct Decision Making</w:t>
            </w:r>
          </w:p>
          <w:p w:rsidR="00666C7A" w:rsidRPr="004A6A09" w:rsidRDefault="00666C7A" w:rsidP="00666C7A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Report Writing</w:t>
            </w:r>
          </w:p>
        </w:tc>
      </w:tr>
    </w:tbl>
    <w:p w:rsidR="00666C7A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666C7A" w:rsidRPr="002D4B16" w:rsidTr="003C1768">
        <w:tc>
          <w:tcPr>
            <w:tcW w:w="9493" w:type="dxa"/>
            <w:shd w:val="pct15" w:color="auto" w:fill="auto"/>
          </w:tcPr>
          <w:p w:rsidR="00666C7A" w:rsidRPr="002D4B16" w:rsidRDefault="00666C7A" w:rsidP="003C176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Öğrenim Yöntem ve Teknikleri / </w:t>
            </w:r>
            <w:r w:rsidRPr="002D4B16">
              <w:rPr>
                <w:rFonts w:cs="Arial"/>
                <w:b/>
                <w:sz w:val="16"/>
                <w:szCs w:val="16"/>
              </w:rPr>
              <w:t>Teaching Methodology / Classroom Procedures</w:t>
            </w:r>
          </w:p>
        </w:tc>
      </w:tr>
      <w:tr w:rsidR="00666C7A" w:rsidRPr="002D4B16" w:rsidTr="003C1768">
        <w:tc>
          <w:tcPr>
            <w:tcW w:w="9493" w:type="dxa"/>
          </w:tcPr>
          <w:p w:rsidR="00666C7A" w:rsidRDefault="00666C7A" w:rsidP="003C1768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Turkish:</w:t>
            </w:r>
          </w:p>
          <w:p w:rsidR="00666C7A" w:rsidRDefault="008D3376" w:rsidP="003C1768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Öğrencilerin</w:t>
            </w:r>
            <w:r w:rsidR="00666C7A">
              <w:rPr>
                <w:rFonts w:cs="Arial"/>
                <w:sz w:val="20"/>
                <w:szCs w:val="20"/>
              </w:rPr>
              <w:t xml:space="preserve"> bu derste aktif olması bekleniyor. Bu dersin öğretim metodolojisi öğrencilerin almış olduğu derslere bağımlı olarak öğrendiklerini hastane ortamında uygulamaktır. </w:t>
            </w:r>
            <w:r w:rsidR="00FC741B">
              <w:rPr>
                <w:rFonts w:cs="Arial"/>
                <w:sz w:val="20"/>
                <w:szCs w:val="20"/>
              </w:rPr>
              <w:t>Öğrenciler verilen ödevlerin</w:t>
            </w:r>
            <w:r w:rsidR="002A1ECB">
              <w:rPr>
                <w:rFonts w:cs="Arial"/>
                <w:sz w:val="20"/>
                <w:szCs w:val="20"/>
              </w:rPr>
              <w:t>i</w:t>
            </w:r>
            <w:r w:rsidR="00FC741B">
              <w:rPr>
                <w:rFonts w:cs="Arial"/>
                <w:sz w:val="20"/>
                <w:szCs w:val="20"/>
              </w:rPr>
              <w:t xml:space="preserve"> zamanında ders hocasına </w:t>
            </w:r>
            <w:r w:rsidR="002A1ECB">
              <w:rPr>
                <w:rFonts w:cs="Arial"/>
                <w:sz w:val="20"/>
                <w:szCs w:val="20"/>
              </w:rPr>
              <w:t xml:space="preserve">teslim etmesi </w:t>
            </w:r>
            <w:r w:rsidR="00FC741B">
              <w:rPr>
                <w:rFonts w:cs="Arial"/>
                <w:sz w:val="20"/>
                <w:szCs w:val="20"/>
              </w:rPr>
              <w:t>gerekmektedir.</w:t>
            </w:r>
            <w:r w:rsidR="00666C7A">
              <w:rPr>
                <w:rFonts w:cs="Arial"/>
                <w:sz w:val="20"/>
                <w:szCs w:val="20"/>
              </w:rPr>
              <w:t>Öğrenciler ders sitesinde olan herşeyden sorumludur. Öğrenciler  öğrendiği bilgi</w:t>
            </w:r>
            <w:r w:rsidR="00FC741B">
              <w:rPr>
                <w:rFonts w:cs="Arial"/>
                <w:sz w:val="20"/>
                <w:szCs w:val="20"/>
              </w:rPr>
              <w:t>leri rapor yazmakla ve dönem sonunda</w:t>
            </w:r>
            <w:r w:rsidR="002A1ECB">
              <w:rPr>
                <w:rFonts w:cs="Arial"/>
                <w:sz w:val="20"/>
                <w:szCs w:val="20"/>
              </w:rPr>
              <w:t>ki</w:t>
            </w:r>
            <w:r w:rsidR="00FC741B">
              <w:rPr>
                <w:rFonts w:cs="Arial"/>
                <w:sz w:val="20"/>
                <w:szCs w:val="20"/>
              </w:rPr>
              <w:t xml:space="preserve"> </w:t>
            </w:r>
            <w:r w:rsidR="002A1ECB">
              <w:rPr>
                <w:rFonts w:cs="Arial"/>
                <w:sz w:val="20"/>
                <w:szCs w:val="20"/>
              </w:rPr>
              <w:t>sınava</w:t>
            </w:r>
            <w:r w:rsidR="00666C7A">
              <w:rPr>
                <w:rFonts w:cs="Arial"/>
                <w:sz w:val="20"/>
                <w:szCs w:val="20"/>
              </w:rPr>
              <w:t xml:space="preserve"> zamanında katılmakla yükümlüdürler.</w:t>
            </w:r>
          </w:p>
          <w:p w:rsidR="00666C7A" w:rsidRDefault="00666C7A" w:rsidP="003C1768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666C7A" w:rsidRDefault="00666C7A" w:rsidP="003C1768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English:</w:t>
            </w:r>
          </w:p>
          <w:p w:rsidR="00666C7A" w:rsidRPr="00E33AD1" w:rsidRDefault="00666C7A" w:rsidP="003C1768">
            <w:pPr>
              <w:spacing w:after="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students are expected to be active learners in this course. The teaching methodology of this course is based on practical applications </w:t>
            </w:r>
            <w:r w:rsidR="00FC741B">
              <w:rPr>
                <w:rFonts w:cs="Arial"/>
                <w:sz w:val="20"/>
                <w:szCs w:val="20"/>
              </w:rPr>
              <w:t xml:space="preserve">and assignments that are given to </w:t>
            </w:r>
            <w:r>
              <w:rPr>
                <w:rFonts w:cs="Arial"/>
                <w:sz w:val="20"/>
                <w:szCs w:val="20"/>
              </w:rPr>
              <w:t xml:space="preserve">students.  </w:t>
            </w:r>
            <w:r w:rsidR="00FC741B">
              <w:rPr>
                <w:rFonts w:cs="Arial"/>
                <w:sz w:val="20"/>
                <w:szCs w:val="20"/>
              </w:rPr>
              <w:t xml:space="preserve">Students have to submit their assignments at the end of  assigned week. </w:t>
            </w:r>
            <w:r>
              <w:rPr>
                <w:rFonts w:cs="Arial"/>
                <w:sz w:val="20"/>
                <w:szCs w:val="20"/>
              </w:rPr>
              <w:t xml:space="preserve">At the end of training, students submit a report according to the school regulations where they develop knowledge, skills and learned at hospital. </w:t>
            </w:r>
            <w:r>
              <w:rPr>
                <w:rFonts w:cs="Arial"/>
                <w:sz w:val="20"/>
                <w:szCs w:val="20"/>
                <w:lang w:val="en-GB"/>
              </w:rPr>
              <w:t>Students are responsible</w:t>
            </w:r>
            <w:r w:rsidR="00991FF0">
              <w:rPr>
                <w:rFonts w:cs="Arial"/>
                <w:sz w:val="20"/>
                <w:szCs w:val="20"/>
                <w:lang w:val="en-GB"/>
              </w:rPr>
              <w:t xml:space="preserve"> to know and use all the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training material placed on the report and for timely attendance to </w:t>
            </w:r>
            <w:r w:rsidR="00D5647E">
              <w:rPr>
                <w:rFonts w:cs="Arial"/>
                <w:sz w:val="20"/>
                <w:szCs w:val="20"/>
                <w:lang w:val="en-GB"/>
              </w:rPr>
              <w:t xml:space="preserve">the final </w:t>
            </w:r>
            <w:r>
              <w:rPr>
                <w:rFonts w:cs="Arial"/>
                <w:sz w:val="20"/>
                <w:szCs w:val="20"/>
                <w:lang w:val="en-GB"/>
              </w:rPr>
              <w:t>exam.</w:t>
            </w:r>
          </w:p>
        </w:tc>
      </w:tr>
    </w:tbl>
    <w:p w:rsidR="00666C7A" w:rsidRDefault="00666C7A" w:rsidP="00666C7A">
      <w:pPr>
        <w:spacing w:after="0"/>
        <w:rPr>
          <w:rFonts w:cs="Arial"/>
          <w:sz w:val="16"/>
          <w:szCs w:val="16"/>
        </w:rPr>
      </w:pPr>
    </w:p>
    <w:p w:rsidR="00666C7A" w:rsidRPr="002D4B16" w:rsidRDefault="00666C7A" w:rsidP="00666C7A">
      <w:pPr>
        <w:spacing w:after="0"/>
        <w:rPr>
          <w:rFonts w:cs="Arial"/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666C7A" w:rsidRPr="002D4B16" w:rsidTr="003C1768">
        <w:tc>
          <w:tcPr>
            <w:tcW w:w="9493" w:type="dxa"/>
            <w:shd w:val="pct15" w:color="auto" w:fill="auto"/>
          </w:tcPr>
          <w:p w:rsidR="00666C7A" w:rsidRPr="002D4B16" w:rsidRDefault="00666C7A" w:rsidP="003C176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Ders Materyalleri / Referanslar -Course </w:t>
            </w:r>
            <w:r w:rsidRPr="002D4B16">
              <w:rPr>
                <w:rFonts w:cs="Arial"/>
                <w:b/>
                <w:sz w:val="16"/>
                <w:szCs w:val="16"/>
              </w:rPr>
              <w:t>Materials / Main References</w:t>
            </w:r>
          </w:p>
        </w:tc>
      </w:tr>
      <w:tr w:rsidR="00666C7A" w:rsidRPr="002D4B16" w:rsidTr="003C1768">
        <w:tc>
          <w:tcPr>
            <w:tcW w:w="9493" w:type="dxa"/>
          </w:tcPr>
          <w:p w:rsidR="00666C7A" w:rsidRDefault="00666C7A" w:rsidP="003C1768">
            <w:pPr>
              <w:spacing w:before="40" w:after="4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Ders Kitabı / Text Book:</w:t>
            </w:r>
          </w:p>
          <w:p w:rsidR="00666C7A" w:rsidRDefault="00666C7A" w:rsidP="003C1768">
            <w:pPr>
              <w:spacing w:before="80" w:after="4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Ders Notları / Lecture Notes:</w:t>
            </w:r>
          </w:p>
          <w:p w:rsidR="00666C7A" w:rsidRPr="004A6A09" w:rsidRDefault="00666C7A" w:rsidP="00666C7A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Ders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Lab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notlarının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bulunduğu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ders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sitesi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: / Lecture and Lab notes on web link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7F2F4F">
              <w:rPr>
                <w:rStyle w:val="Hyperlink"/>
                <w:rFonts w:cs="Arial"/>
                <w:sz w:val="20"/>
                <w:szCs w:val="20"/>
              </w:rPr>
              <w:t>https://staff.emu.edu.tr/alimurat/tr/dersler/bmet-264</w:t>
            </w:r>
          </w:p>
        </w:tc>
      </w:tr>
    </w:tbl>
    <w:p w:rsidR="00666C7A" w:rsidRPr="002D4B16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p w:rsidR="00666C7A" w:rsidRPr="002D4B16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p w:rsidR="00666C7A" w:rsidRPr="002D4B16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p w:rsidR="00666C7A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666C7A" w:rsidRPr="002D4B16" w:rsidTr="003C1768">
        <w:tc>
          <w:tcPr>
            <w:tcW w:w="9493" w:type="dxa"/>
            <w:shd w:val="pct15" w:color="auto" w:fill="auto"/>
          </w:tcPr>
          <w:p w:rsidR="00666C7A" w:rsidRPr="002D4B16" w:rsidRDefault="00666C7A" w:rsidP="003C176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Gereksinimler / </w:t>
            </w:r>
            <w:r w:rsidRPr="002D4B16">
              <w:rPr>
                <w:rFonts w:cs="Arial"/>
                <w:b/>
                <w:sz w:val="16"/>
                <w:szCs w:val="16"/>
              </w:rPr>
              <w:t>Requirements</w:t>
            </w:r>
          </w:p>
        </w:tc>
      </w:tr>
      <w:tr w:rsidR="00666C7A" w:rsidRPr="002D4B16" w:rsidTr="003C1768">
        <w:tc>
          <w:tcPr>
            <w:tcW w:w="9493" w:type="dxa"/>
          </w:tcPr>
          <w:p w:rsidR="00666C7A" w:rsidRDefault="00666C7A" w:rsidP="003C1768">
            <w:pPr>
              <w:spacing w:before="60" w:after="4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Turkish:</w:t>
            </w:r>
          </w:p>
          <w:p w:rsidR="00666C7A" w:rsidRDefault="00666C7A" w:rsidP="00666C7A">
            <w:pPr>
              <w:numPr>
                <w:ilvl w:val="0"/>
                <w:numId w:val="3"/>
              </w:numPr>
              <w:spacing w:before="60" w:after="4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 öğrencinin sadece bir tane telafi sınavı hakkı vardır. Sınava katılamayan bir öğrenci sınav tarihinden itibaren en geç 3 gün içerisinde staj hocasına rapor sunmakla yükümlüdür. Stajlara  düzenli katılamayan bir öğrenci  NG harf notu ile değerlendirilir.</w:t>
            </w:r>
          </w:p>
          <w:p w:rsidR="00666C7A" w:rsidRDefault="00666C7A" w:rsidP="003C1768">
            <w:pPr>
              <w:spacing w:before="60" w:after="4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English:</w:t>
            </w:r>
          </w:p>
          <w:p w:rsidR="00666C7A" w:rsidRDefault="00666C7A" w:rsidP="00666C7A">
            <w:pPr>
              <w:numPr>
                <w:ilvl w:val="0"/>
                <w:numId w:val="4"/>
              </w:numPr>
              <w:spacing w:before="60" w:after="4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student can have only one make-up exam. One who misses an exam should provide a medical report within 3 days after the missed exam. </w:t>
            </w:r>
          </w:p>
          <w:p w:rsidR="00666C7A" w:rsidRPr="004A6A09" w:rsidRDefault="00666C7A" w:rsidP="00666C7A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Students who do not attend the summer training regularly may be given NG grade. </w:t>
            </w:r>
          </w:p>
        </w:tc>
      </w:tr>
    </w:tbl>
    <w:p w:rsidR="00666C7A" w:rsidRDefault="00666C7A" w:rsidP="00666C7A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8D3376" w:rsidRPr="00453150" w:rsidTr="00370D36">
        <w:tc>
          <w:tcPr>
            <w:tcW w:w="9464" w:type="dxa"/>
            <w:gridSpan w:val="2"/>
            <w:shd w:val="pct15" w:color="auto" w:fill="auto"/>
          </w:tcPr>
          <w:p w:rsidR="008D3376" w:rsidRPr="00453150" w:rsidRDefault="008D3376" w:rsidP="00370D36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53150">
              <w:rPr>
                <w:rFonts w:cs="Arial"/>
                <w:b/>
                <w:sz w:val="20"/>
                <w:szCs w:val="20"/>
              </w:rPr>
              <w:t>Haftalık Ders Programı / Konu Özeti  - Weekly Schedule / Summary of Topics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8D3376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53150">
              <w:rPr>
                <w:rFonts w:cs="Arial"/>
                <w:b/>
                <w:sz w:val="20"/>
                <w:szCs w:val="20"/>
              </w:rPr>
              <w:t>Hafta/Week 1</w:t>
            </w:r>
            <w:r w:rsidR="005D624C">
              <w:rPr>
                <w:rFonts w:cs="Arial"/>
                <w:b/>
                <w:sz w:val="20"/>
                <w:szCs w:val="20"/>
              </w:rPr>
              <w:t>-2</w:t>
            </w:r>
          </w:p>
        </w:tc>
        <w:tc>
          <w:tcPr>
            <w:tcW w:w="7655" w:type="dxa"/>
          </w:tcPr>
          <w:p w:rsidR="008D3376" w:rsidRPr="00C312FA" w:rsidRDefault="005D624C" w:rsidP="00370D3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C312FA">
              <w:rPr>
                <w:rFonts w:cs="Arial"/>
                <w:b/>
                <w:sz w:val="20"/>
                <w:szCs w:val="20"/>
              </w:rPr>
              <w:t>Assignment I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8D3376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53150">
              <w:rPr>
                <w:rFonts w:cs="Arial"/>
                <w:b/>
                <w:sz w:val="20"/>
                <w:szCs w:val="20"/>
              </w:rPr>
              <w:t xml:space="preserve">Hafta/Week </w:t>
            </w:r>
            <w:r w:rsidR="005D624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8D3376" w:rsidRPr="00453150" w:rsidRDefault="005D624C" w:rsidP="00370D36">
            <w:pPr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Assignment I evaluation 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8D3376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53150">
              <w:rPr>
                <w:rFonts w:cs="Arial"/>
                <w:b/>
                <w:sz w:val="20"/>
                <w:szCs w:val="20"/>
              </w:rPr>
              <w:t xml:space="preserve">Hafta/Week </w:t>
            </w:r>
            <w:r w:rsidR="005D624C">
              <w:rPr>
                <w:rFonts w:cs="Arial"/>
                <w:b/>
                <w:sz w:val="20"/>
                <w:szCs w:val="20"/>
              </w:rPr>
              <w:t>4-5</w:t>
            </w:r>
          </w:p>
        </w:tc>
        <w:tc>
          <w:tcPr>
            <w:tcW w:w="7655" w:type="dxa"/>
          </w:tcPr>
          <w:p w:rsidR="008D3376" w:rsidRPr="00453150" w:rsidRDefault="005D624C" w:rsidP="00370D36">
            <w:pPr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II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8D3376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53150">
              <w:rPr>
                <w:rFonts w:cs="Arial"/>
                <w:b/>
                <w:sz w:val="20"/>
                <w:szCs w:val="20"/>
              </w:rPr>
              <w:t xml:space="preserve">Hafta/Week </w:t>
            </w:r>
            <w:r w:rsidR="005D624C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8D3376" w:rsidRPr="00453150" w:rsidRDefault="005D624C" w:rsidP="00370D36">
            <w:pPr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Assignment II evaluation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8D3376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53150">
              <w:rPr>
                <w:rFonts w:cs="Arial"/>
                <w:b/>
                <w:sz w:val="20"/>
                <w:szCs w:val="20"/>
              </w:rPr>
              <w:t xml:space="preserve">Hafta /Week </w:t>
            </w:r>
            <w:r w:rsidR="005D624C">
              <w:rPr>
                <w:rFonts w:cs="Arial"/>
                <w:b/>
                <w:sz w:val="20"/>
                <w:szCs w:val="20"/>
              </w:rPr>
              <w:t>7-8</w:t>
            </w:r>
          </w:p>
        </w:tc>
        <w:tc>
          <w:tcPr>
            <w:tcW w:w="7655" w:type="dxa"/>
          </w:tcPr>
          <w:p w:rsidR="008D3376" w:rsidRPr="00453150" w:rsidRDefault="005D624C" w:rsidP="00370D36">
            <w:pPr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III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8D3376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53150">
              <w:rPr>
                <w:rFonts w:cs="Arial"/>
                <w:b/>
                <w:sz w:val="20"/>
                <w:szCs w:val="20"/>
              </w:rPr>
              <w:t xml:space="preserve">Hafta /Week </w:t>
            </w:r>
            <w:r w:rsidR="005D624C">
              <w:rPr>
                <w:rFonts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7655" w:type="dxa"/>
          </w:tcPr>
          <w:p w:rsidR="008D3376" w:rsidRPr="00453150" w:rsidRDefault="005D624C" w:rsidP="00370D36">
            <w:pPr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Assignment III evaluation</w:t>
            </w:r>
            <w:r w:rsidR="008D3376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5D624C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Hafta /Week 10-11</w:t>
            </w:r>
            <w:r w:rsidR="008D337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8D3376" w:rsidRPr="00453150" w:rsidRDefault="005D624C" w:rsidP="00370D36">
            <w:pPr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Assignment IV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5D624C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Hafta /Week 12</w:t>
            </w:r>
          </w:p>
        </w:tc>
        <w:tc>
          <w:tcPr>
            <w:tcW w:w="7655" w:type="dxa"/>
          </w:tcPr>
          <w:p w:rsidR="008D3376" w:rsidRPr="00453150" w:rsidRDefault="005D624C" w:rsidP="00370D36">
            <w:pPr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Assignment IV evaluation.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5D624C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Hafta /Week 13-14</w:t>
            </w:r>
          </w:p>
        </w:tc>
        <w:tc>
          <w:tcPr>
            <w:tcW w:w="7655" w:type="dxa"/>
          </w:tcPr>
          <w:p w:rsidR="008D3376" w:rsidRPr="00453150" w:rsidRDefault="005D624C" w:rsidP="00370D36">
            <w:pPr>
              <w:tabs>
                <w:tab w:val="right" w:pos="8226"/>
              </w:tabs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Assignment V</w:t>
            </w:r>
            <w:r w:rsidR="008D3376"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5D624C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Hafta /Week 15</w:t>
            </w:r>
          </w:p>
        </w:tc>
        <w:tc>
          <w:tcPr>
            <w:tcW w:w="7655" w:type="dxa"/>
          </w:tcPr>
          <w:p w:rsidR="008D3376" w:rsidRDefault="005D624C" w:rsidP="00370D36">
            <w:pPr>
              <w:tabs>
                <w:tab w:val="right" w:pos="8226"/>
              </w:tabs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Assignment V evaluation</w:t>
            </w:r>
          </w:p>
        </w:tc>
      </w:tr>
      <w:tr w:rsidR="008D3376" w:rsidRPr="00453150" w:rsidTr="00370D36">
        <w:tc>
          <w:tcPr>
            <w:tcW w:w="1809" w:type="dxa"/>
            <w:shd w:val="pct15" w:color="auto" w:fill="auto"/>
            <w:vAlign w:val="center"/>
          </w:tcPr>
          <w:p w:rsidR="008D3376" w:rsidRPr="00453150" w:rsidRDefault="005D624C" w:rsidP="003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Hafta /Week </w:t>
            </w:r>
            <w:r w:rsidR="008D3376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7655" w:type="dxa"/>
          </w:tcPr>
          <w:p w:rsidR="008D3376" w:rsidRDefault="008D3376" w:rsidP="00370D36">
            <w:pPr>
              <w:tabs>
                <w:tab w:val="right" w:pos="8226"/>
              </w:tabs>
              <w:adjustRightInd w:val="0"/>
              <w:spacing w:before="60" w:after="60"/>
              <w:ind w:right="113"/>
              <w:rPr>
                <w:rFonts w:cs="Arial"/>
                <w:b/>
                <w:sz w:val="20"/>
                <w:szCs w:val="20"/>
              </w:rPr>
            </w:pPr>
            <w:r w:rsidRPr="00453150">
              <w:rPr>
                <w:rFonts w:cs="Arial"/>
                <w:b/>
                <w:sz w:val="20"/>
                <w:szCs w:val="20"/>
              </w:rPr>
              <w:t>Dönem Sonu Sınavları / Final Examinations</w:t>
            </w:r>
          </w:p>
        </w:tc>
      </w:tr>
    </w:tbl>
    <w:p w:rsidR="008D3376" w:rsidRDefault="008D3376" w:rsidP="00666C7A">
      <w:pPr>
        <w:spacing w:after="0" w:line="240" w:lineRule="auto"/>
        <w:rPr>
          <w:rFonts w:cs="Arial"/>
          <w:sz w:val="16"/>
          <w:szCs w:val="16"/>
        </w:rPr>
      </w:pPr>
    </w:p>
    <w:p w:rsidR="008D3376" w:rsidRDefault="008D3376" w:rsidP="00666C7A">
      <w:pPr>
        <w:spacing w:after="0" w:line="240" w:lineRule="auto"/>
        <w:rPr>
          <w:rFonts w:cs="Arial"/>
          <w:sz w:val="16"/>
          <w:szCs w:val="16"/>
        </w:rPr>
      </w:pPr>
    </w:p>
    <w:p w:rsidR="008D3376" w:rsidRDefault="008D3376" w:rsidP="00666C7A">
      <w:pPr>
        <w:spacing w:after="0" w:line="240" w:lineRule="auto"/>
        <w:rPr>
          <w:rFonts w:cs="Arial"/>
          <w:sz w:val="16"/>
          <w:szCs w:val="16"/>
        </w:rPr>
      </w:pPr>
    </w:p>
    <w:p w:rsidR="008D3376" w:rsidRPr="002D4B16" w:rsidRDefault="008D3376" w:rsidP="00666C7A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2350"/>
        <w:gridCol w:w="2126"/>
        <w:gridCol w:w="2718"/>
      </w:tblGrid>
      <w:tr w:rsidR="000043A5" w:rsidTr="000043A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043A5" w:rsidRDefault="000043A5" w:rsidP="003C1768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Değerlendirme ve Harf Notu / Evaluation and Grading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A5" w:rsidRDefault="000043A5" w:rsidP="004926A0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Ödevler / Assignments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A5" w:rsidRDefault="000043A5" w:rsidP="003C1768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Report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A5" w:rsidRDefault="000043A5" w:rsidP="003C1768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Final</w:t>
            </w:r>
          </w:p>
        </w:tc>
      </w:tr>
      <w:tr w:rsidR="000043A5" w:rsidTr="000043A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043A5" w:rsidRDefault="000043A5" w:rsidP="003C1768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Yüzdelikler / Percentage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A5" w:rsidRDefault="000043A5" w:rsidP="003C1768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% </w:t>
            </w:r>
            <w:r w:rsidR="009275E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A5" w:rsidRDefault="009275E2" w:rsidP="003C1768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043A5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A5" w:rsidRDefault="000043A5" w:rsidP="003C1768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30 %</w:t>
            </w:r>
          </w:p>
        </w:tc>
      </w:tr>
    </w:tbl>
    <w:p w:rsidR="00666C7A" w:rsidRDefault="00666C7A" w:rsidP="00666C7A">
      <w:pPr>
        <w:spacing w:after="0" w:line="240" w:lineRule="auto"/>
        <w:rPr>
          <w:rFonts w:cs="Arial"/>
          <w:sz w:val="20"/>
          <w:szCs w:val="20"/>
        </w:rPr>
      </w:pPr>
    </w:p>
    <w:p w:rsidR="00666C7A" w:rsidRDefault="00666C7A" w:rsidP="00666C7A">
      <w:pPr>
        <w:spacing w:after="0" w:line="240" w:lineRule="auto"/>
        <w:rPr>
          <w:rFonts w:cs="Arial"/>
          <w:sz w:val="20"/>
          <w:szCs w:val="20"/>
        </w:rPr>
      </w:pPr>
    </w:p>
    <w:p w:rsidR="00666C7A" w:rsidRPr="002D6811" w:rsidRDefault="00666C7A" w:rsidP="00666C7A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3"/>
      </w:tblGrid>
      <w:tr w:rsidR="00666C7A" w:rsidRPr="00860FF9" w:rsidTr="003C1768">
        <w:tc>
          <w:tcPr>
            <w:tcW w:w="9493" w:type="dxa"/>
            <w:shd w:val="clear" w:color="auto" w:fill="auto"/>
          </w:tcPr>
          <w:p w:rsidR="00666C7A" w:rsidRDefault="00666C7A" w:rsidP="003C1768">
            <w:pPr>
              <w:spacing w:after="0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Değerlendirme</w:t>
            </w:r>
            <w:proofErr w:type="spellEnd"/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Kriterleri</w:t>
            </w:r>
            <w:proofErr w:type="spellEnd"/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/ </w:t>
            </w:r>
            <w:r w:rsidRPr="00860FF9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Grading Criteria :</w:t>
            </w:r>
          </w:p>
          <w:p w:rsidR="00666C7A" w:rsidRDefault="00666C7A" w:rsidP="003C1768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241A6">
              <w:rPr>
                <w:rFonts w:cs="Arial"/>
                <w:sz w:val="20"/>
                <w:szCs w:val="20"/>
                <w:lang w:val="en-GB"/>
              </w:rPr>
              <w:t>Turkish:</w:t>
            </w:r>
          </w:p>
          <w:p w:rsidR="00666C7A" w:rsidRDefault="00666C7A" w:rsidP="003C1768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Harf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notları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so</w:t>
            </w:r>
            <w:r w:rsidR="004926A0">
              <w:rPr>
                <w:rFonts w:cs="Arial"/>
                <w:sz w:val="20"/>
                <w:szCs w:val="20"/>
                <w:lang w:val="en-GB"/>
              </w:rPr>
              <w:t>nunda</w:t>
            </w:r>
            <w:proofErr w:type="spellEnd"/>
            <w:r w:rsidR="004926A0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26A0">
              <w:rPr>
                <w:rFonts w:cs="Arial"/>
                <w:sz w:val="20"/>
                <w:szCs w:val="20"/>
                <w:lang w:val="en-GB"/>
              </w:rPr>
              <w:t>hesaplanan</w:t>
            </w:r>
            <w:proofErr w:type="spellEnd"/>
            <w:r w:rsidR="004926A0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26A0">
              <w:rPr>
                <w:rFonts w:cs="Arial"/>
                <w:sz w:val="20"/>
                <w:szCs w:val="20"/>
                <w:lang w:val="en-GB"/>
              </w:rPr>
              <w:t>ortalamalara</w:t>
            </w:r>
            <w:proofErr w:type="spellEnd"/>
            <w:r w:rsidR="004926A0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26A0">
              <w:rPr>
                <w:rFonts w:cs="Arial"/>
                <w:sz w:val="20"/>
                <w:szCs w:val="20"/>
                <w:lang w:val="en-GB"/>
              </w:rPr>
              <w:t>gö</w:t>
            </w:r>
            <w:r>
              <w:rPr>
                <w:rFonts w:cs="Arial"/>
                <w:sz w:val="20"/>
                <w:szCs w:val="20"/>
                <w:lang w:val="en-GB"/>
              </w:rPr>
              <w:t>re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belirlenir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.  </w:t>
            </w:r>
            <w:proofErr w:type="spellStart"/>
            <w:r w:rsidRPr="005241A6">
              <w:rPr>
                <w:rFonts w:cs="Arial"/>
                <w:sz w:val="20"/>
                <w:szCs w:val="20"/>
                <w:lang w:val="en-GB"/>
              </w:rPr>
              <w:t>Ortalamalarının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41A6">
              <w:rPr>
                <w:rFonts w:cs="Arial"/>
                <w:sz w:val="20"/>
                <w:szCs w:val="20"/>
                <w:lang w:val="en-GB"/>
              </w:rPr>
              <w:t>dağılımı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Harf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41A6">
              <w:rPr>
                <w:rFonts w:cs="Arial"/>
                <w:sz w:val="20"/>
                <w:szCs w:val="20"/>
                <w:lang w:val="en-GB"/>
              </w:rPr>
              <w:t>Notlarının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41A6">
              <w:rPr>
                <w:rFonts w:cs="Arial"/>
                <w:sz w:val="20"/>
                <w:szCs w:val="20"/>
                <w:lang w:val="en-GB"/>
              </w:rPr>
              <w:t>değerlendirilmesinde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41A6">
              <w:rPr>
                <w:rFonts w:cs="Arial"/>
                <w:sz w:val="20"/>
                <w:szCs w:val="20"/>
                <w:lang w:val="en-GB"/>
              </w:rPr>
              <w:t>önemli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41A6">
              <w:rPr>
                <w:rFonts w:cs="Arial"/>
                <w:sz w:val="20"/>
                <w:szCs w:val="20"/>
                <w:lang w:val="en-GB"/>
              </w:rPr>
              <w:t>bir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41A6">
              <w:rPr>
                <w:rFonts w:cs="Arial"/>
                <w:sz w:val="20"/>
                <w:szCs w:val="20"/>
                <w:lang w:val="en-GB"/>
              </w:rPr>
              <w:t>rol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41A6">
              <w:rPr>
                <w:rFonts w:cs="Arial"/>
                <w:sz w:val="20"/>
                <w:szCs w:val="20"/>
                <w:lang w:val="en-GB"/>
              </w:rPr>
              <w:t>oynayacaktır</w:t>
            </w:r>
            <w:proofErr w:type="spellEnd"/>
            <w:r w:rsidRPr="005241A6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666C7A" w:rsidRDefault="00666C7A" w:rsidP="003C1768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  <w:p w:rsidR="00666C7A" w:rsidRPr="005241A6" w:rsidRDefault="00666C7A" w:rsidP="003C1768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English:</w:t>
            </w:r>
          </w:p>
          <w:p w:rsidR="00666C7A" w:rsidRPr="00860FF9" w:rsidRDefault="00666C7A" w:rsidP="003C17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0FF9">
              <w:rPr>
                <w:rFonts w:cs="Arial"/>
                <w:sz w:val="20"/>
                <w:szCs w:val="20"/>
                <w:lang w:val="en-GB"/>
              </w:rPr>
              <w:t>Letter grades will be decided upon after calculating the averages at the end of the semester. Distribution of the averages will play a significant role in the evaluation of the Letter Grades.</w:t>
            </w:r>
          </w:p>
        </w:tc>
      </w:tr>
    </w:tbl>
    <w:p w:rsidR="00666C7A" w:rsidRDefault="00666C7A" w:rsidP="00666C7A">
      <w:pPr>
        <w:rPr>
          <w:rFonts w:cs="Arial"/>
          <w:sz w:val="16"/>
          <w:szCs w:val="16"/>
        </w:rPr>
      </w:pPr>
    </w:p>
    <w:p w:rsidR="00666C7A" w:rsidRDefault="00666C7A" w:rsidP="00666C7A">
      <w:pPr>
        <w:rPr>
          <w:rFonts w:cs="Arial"/>
          <w:sz w:val="16"/>
          <w:szCs w:val="16"/>
        </w:rPr>
      </w:pPr>
    </w:p>
    <w:p w:rsidR="00F8073A" w:rsidRDefault="00F8073A"/>
    <w:sectPr w:rsidR="00F80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F35E1"/>
    <w:multiLevelType w:val="hybridMultilevel"/>
    <w:tmpl w:val="52563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1584"/>
    <w:multiLevelType w:val="hybridMultilevel"/>
    <w:tmpl w:val="9BAA7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5933"/>
    <w:multiLevelType w:val="hybridMultilevel"/>
    <w:tmpl w:val="66880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A"/>
    <w:rsid w:val="000043A5"/>
    <w:rsid w:val="002A1ECB"/>
    <w:rsid w:val="004926A0"/>
    <w:rsid w:val="005D624C"/>
    <w:rsid w:val="00666C7A"/>
    <w:rsid w:val="006A76EE"/>
    <w:rsid w:val="008B208D"/>
    <w:rsid w:val="008D3376"/>
    <w:rsid w:val="009275E2"/>
    <w:rsid w:val="00991FF0"/>
    <w:rsid w:val="00A809DF"/>
    <w:rsid w:val="00AA00B8"/>
    <w:rsid w:val="00B5017C"/>
    <w:rsid w:val="00B6204E"/>
    <w:rsid w:val="00C312FA"/>
    <w:rsid w:val="00D5647E"/>
    <w:rsid w:val="00D77746"/>
    <w:rsid w:val="00E45FBC"/>
    <w:rsid w:val="00EE1DC0"/>
    <w:rsid w:val="00EE5A94"/>
    <w:rsid w:val="00F8073A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C18A6-D990-4F4B-B709-82638946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7A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66C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06854E2418C4E9635C1535E52461B" ma:contentTypeVersion="" ma:contentTypeDescription="Create a new document." ma:contentTypeScope="" ma:versionID="7e8873945a4071e83c067db065e658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66501A-FF6D-47AA-BB14-C7CAAFBE82A3}"/>
</file>

<file path=customXml/itemProps2.xml><?xml version="1.0" encoding="utf-8"?>
<ds:datastoreItem xmlns:ds="http://schemas.openxmlformats.org/officeDocument/2006/customXml" ds:itemID="{2A9210F4-0850-4AB9-9B4D-5E1DFC889F3E}"/>
</file>

<file path=customXml/itemProps3.xml><?xml version="1.0" encoding="utf-8"?>
<ds:datastoreItem xmlns:ds="http://schemas.openxmlformats.org/officeDocument/2006/customXml" ds:itemID="{5C138DB0-FC49-403E-8EDD-2F0349AC2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</dc:creator>
  <cp:keywords/>
  <dc:description/>
  <cp:lastModifiedBy>Ali Murat</cp:lastModifiedBy>
  <cp:revision>16</cp:revision>
  <dcterms:created xsi:type="dcterms:W3CDTF">2021-02-11T12:04:00Z</dcterms:created>
  <dcterms:modified xsi:type="dcterms:W3CDTF">2021-02-14T13:06:00Z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0x01010060006854E2418C4E9635C1535E52461B</vt:lpwstr>
  </property>
</Properties>
</file>