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DE" w:rsidRPr="00633A8C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A8C">
        <w:rPr>
          <w:rFonts w:ascii="Times New Roman" w:hAnsi="Times New Roman" w:cs="Times New Roman"/>
          <w:b/>
          <w:sz w:val="24"/>
          <w:szCs w:val="24"/>
        </w:rPr>
        <w:t>IENG</w:t>
      </w:r>
      <w:r>
        <w:rPr>
          <w:rFonts w:ascii="Times New Roman" w:hAnsi="Times New Roman" w:cs="Times New Roman"/>
          <w:b/>
          <w:sz w:val="24"/>
          <w:szCs w:val="24"/>
        </w:rPr>
        <w:t>112</w:t>
      </w:r>
    </w:p>
    <w:p w:rsidR="00633A8C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 #10</w:t>
      </w:r>
    </w:p>
    <w:p w:rsidR="00633A8C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8C" w:rsidRDefault="00633A8C" w:rsidP="00633A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Quality Control</w:t>
      </w:r>
      <w:r w:rsidR="001A4EC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Tools of QC</w:t>
      </w:r>
    </w:p>
    <w:p w:rsidR="00633A8C" w:rsidRPr="009765CD" w:rsidRDefault="00633A8C" w:rsidP="00633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65CD">
        <w:rPr>
          <w:rFonts w:ascii="Times New Roman" w:hAnsi="Times New Roman" w:cs="Times New Roman"/>
          <w:b/>
          <w:sz w:val="24"/>
          <w:szCs w:val="24"/>
        </w:rPr>
        <w:t xml:space="preserve">Histogram: </w:t>
      </w:r>
      <w:r w:rsidR="009765CD">
        <w:rPr>
          <w:rFonts w:ascii="Times New Roman" w:hAnsi="Times New Roman" w:cs="Times New Roman"/>
          <w:sz w:val="24"/>
          <w:szCs w:val="24"/>
        </w:rPr>
        <w:t>Shows the diversity of a parameter</w:t>
      </w:r>
    </w:p>
    <w:p w:rsidR="00633A8C" w:rsidRPr="00633A8C" w:rsidRDefault="00633A8C" w:rsidP="00633A8C">
      <w:pPr>
        <w:spacing w:after="0"/>
        <w:jc w:val="center"/>
        <w:rPr>
          <w:rFonts w:ascii="Times New Roman" w:hAnsi="Times New Roman" w:cs="Times New Roman"/>
        </w:rPr>
      </w:pPr>
    </w:p>
    <w:p w:rsidR="00633A8C" w:rsidRPr="00633A8C" w:rsidRDefault="00633A8C" w:rsidP="00633A8C">
      <w:pPr>
        <w:spacing w:after="0"/>
        <w:jc w:val="center"/>
        <w:rPr>
          <w:rFonts w:ascii="Times New Roman" w:hAnsi="Times New Roman" w:cs="Times New Roman"/>
        </w:rPr>
      </w:pPr>
      <w:r w:rsidRPr="00633A8C">
        <w:rPr>
          <w:rFonts w:ascii="Times New Roman" w:hAnsi="Times New Roman" w:cs="Times New Roman"/>
          <w:noProof/>
        </w:rPr>
        <w:drawing>
          <wp:inline distT="0" distB="0" distL="0" distR="0">
            <wp:extent cx="4166558" cy="2501661"/>
            <wp:effectExtent l="0" t="0" r="571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3A8C" w:rsidRPr="00633A8C" w:rsidRDefault="00633A8C" w:rsidP="00633A8C">
      <w:pPr>
        <w:spacing w:after="0"/>
        <w:jc w:val="center"/>
        <w:rPr>
          <w:rFonts w:ascii="Times New Roman" w:hAnsi="Times New Roman" w:cs="Times New Roman"/>
        </w:rPr>
      </w:pPr>
    </w:p>
    <w:p w:rsidR="00633A8C" w:rsidRPr="00633A8C" w:rsidRDefault="00633A8C" w:rsidP="00633A8C">
      <w:pPr>
        <w:spacing w:after="0"/>
        <w:jc w:val="center"/>
        <w:rPr>
          <w:rFonts w:ascii="Times New Roman" w:hAnsi="Times New Roman" w:cs="Times New Roman"/>
        </w:rPr>
      </w:pPr>
      <w:r w:rsidRPr="00633A8C">
        <w:rPr>
          <w:rFonts w:ascii="Times New Roman" w:hAnsi="Times New Roman" w:cs="Times New Roman"/>
          <w:noProof/>
        </w:rPr>
        <w:drawing>
          <wp:inline distT="0" distB="0" distL="0" distR="0">
            <wp:extent cx="4123426" cy="2449902"/>
            <wp:effectExtent l="0" t="0" r="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3A8C" w:rsidRDefault="00633A8C" w:rsidP="00633A8C">
      <w:pPr>
        <w:spacing w:after="0"/>
        <w:rPr>
          <w:rFonts w:ascii="Times New Roman" w:hAnsi="Times New Roman" w:cs="Times New Roman"/>
        </w:rPr>
      </w:pPr>
    </w:p>
    <w:p w:rsidR="001A4ECE" w:rsidRDefault="001A4ECE" w:rsidP="001E4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histogram from the data:</w:t>
      </w:r>
    </w:p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</w:tblGrid>
      <w:tr w:rsidR="001A4ECE" w:rsidRPr="001E4000" w:rsidTr="001E4000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0.55</w:t>
            </w:r>
          </w:p>
        </w:tc>
      </w:tr>
      <w:tr w:rsidR="001A4ECE" w:rsidRPr="001E4000" w:rsidTr="001E4000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0.54</w:t>
            </w:r>
          </w:p>
        </w:tc>
      </w:tr>
      <w:tr w:rsidR="001A4ECE" w:rsidRPr="001E4000" w:rsidTr="001E4000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0.41</w:t>
            </w:r>
          </w:p>
        </w:tc>
      </w:tr>
      <w:tr w:rsidR="001A4ECE" w:rsidRPr="001E4000" w:rsidTr="001E4000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0.64</w:t>
            </w:r>
          </w:p>
        </w:tc>
      </w:tr>
      <w:tr w:rsidR="001A4ECE" w:rsidRPr="001E4000" w:rsidTr="001E4000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CE" w:rsidRPr="001E4000" w:rsidRDefault="001A4ECE" w:rsidP="001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4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0.50</w:t>
            </w:r>
          </w:p>
        </w:tc>
      </w:tr>
    </w:tbl>
    <w:p w:rsidR="00633A8C" w:rsidRDefault="00633A8C" w:rsidP="00D906FC">
      <w:pPr>
        <w:rPr>
          <w:rFonts w:ascii="Times New Roman" w:hAnsi="Times New Roman" w:cs="Times New Roman"/>
        </w:rPr>
      </w:pPr>
      <w:bookmarkStart w:id="0" w:name="_GoBack"/>
      <w:bookmarkEnd w:id="0"/>
    </w:p>
    <w:p w:rsidR="009765CD" w:rsidRPr="0042706B" w:rsidRDefault="009765CD" w:rsidP="00976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06B" w:rsidRDefault="0042706B" w:rsidP="00427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Pareto Analysis:</w:t>
      </w:r>
      <w:r>
        <w:rPr>
          <w:rFonts w:ascii="Times New Roman" w:hAnsi="Times New Roman" w:cs="Times New Roman"/>
          <w:sz w:val="24"/>
          <w:szCs w:val="24"/>
        </w:rPr>
        <w:t xml:space="preserve"> Shows frequency/importance of errors</w:t>
      </w:r>
    </w:p>
    <w:tbl>
      <w:tblPr>
        <w:tblW w:w="5120" w:type="dxa"/>
        <w:jc w:val="center"/>
        <w:tblLook w:val="04A0" w:firstRow="1" w:lastRow="0" w:firstColumn="1" w:lastColumn="0" w:noHBand="0" w:noVBand="1"/>
      </w:tblPr>
      <w:tblGrid>
        <w:gridCol w:w="1280"/>
        <w:gridCol w:w="1280"/>
        <w:gridCol w:w="1372"/>
        <w:gridCol w:w="1372"/>
      </w:tblGrid>
      <w:tr w:rsidR="0042706B" w:rsidRPr="0042706B" w:rsidTr="0042706B">
        <w:trPr>
          <w:trHeight w:val="642"/>
          <w:jc w:val="center"/>
        </w:trPr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6B" w:rsidRPr="0042706B" w:rsidRDefault="0042706B" w:rsidP="0042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6B" w:rsidRPr="0042706B" w:rsidRDefault="0042706B" w:rsidP="0042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Percentage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6B" w:rsidRPr="0042706B" w:rsidRDefault="0042706B" w:rsidP="004270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Total Percentage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26.9230769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26.9230769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11.5384615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38.4615385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11.5384615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11.5384615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61.5384615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7.69230769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69.2307692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7.69230769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76.9230769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80.7692308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84.6153846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88.4615385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92.3076923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96.1538462</w:t>
            </w:r>
          </w:p>
        </w:tc>
      </w:tr>
      <w:tr w:rsidR="0042706B" w:rsidRPr="0042706B" w:rsidTr="0042706B">
        <w:trPr>
          <w:trHeight w:val="315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3.84615385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06B" w:rsidRPr="0042706B" w:rsidRDefault="0042706B" w:rsidP="004270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70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2706B" w:rsidRDefault="0042706B" w:rsidP="0042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A8A" w:rsidRDefault="006D0A8A" w:rsidP="0042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A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0A8A" w:rsidRPr="0042706B" w:rsidRDefault="006D0A8A" w:rsidP="00427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06B" w:rsidRDefault="0042706B" w:rsidP="00427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The logic of Pareto Analysis is the same as of ABC analysis.</w:t>
      </w:r>
      <w:r>
        <w:rPr>
          <w:rFonts w:ascii="Times New Roman" w:hAnsi="Times New Roman" w:cs="Times New Roman"/>
          <w:sz w:val="24"/>
          <w:szCs w:val="24"/>
        </w:rPr>
        <w:t xml:space="preserve"> First, concern is paid to the errors giving the first 80 percent.</w:t>
      </w:r>
    </w:p>
    <w:p w:rsidR="008F6C09" w:rsidRDefault="008F6C09" w:rsidP="008F6C09">
      <w:pPr>
        <w:spacing w:after="0"/>
        <w:ind w:left="1440"/>
        <w:jc w:val="both"/>
      </w:pPr>
      <w:r>
        <w:rPr>
          <w:b/>
          <w:bCs/>
        </w:rPr>
        <w:t>“Vilfredo Federico Damaso Pareto</w:t>
      </w:r>
      <w:r>
        <w:t xml:space="preserve"> (born </w:t>
      </w:r>
      <w:r>
        <w:rPr>
          <w:i/>
          <w:iCs/>
        </w:rPr>
        <w:t>Wilfried Fritz Pareto</w:t>
      </w:r>
      <w:r>
        <w:t xml:space="preserve">; </w:t>
      </w:r>
      <w:r>
        <w:rPr>
          <w:sz w:val="20"/>
          <w:szCs w:val="20"/>
        </w:rPr>
        <w:t>Italian: </w:t>
      </w:r>
      <w:r>
        <w:t xml:space="preserve"> 15 July 1848 – 19 August 1923) was an Italian </w:t>
      </w:r>
      <w:hyperlink r:id="rId10" w:tooltip="Engineer" w:history="1">
        <w:r>
          <w:rPr>
            <w:rStyle w:val="Hyperlink"/>
          </w:rPr>
          <w:t>engineer</w:t>
        </w:r>
      </w:hyperlink>
      <w:r>
        <w:t xml:space="preserve">, </w:t>
      </w:r>
      <w:hyperlink r:id="rId11" w:tooltip="Sociologist" w:history="1">
        <w:r>
          <w:rPr>
            <w:rStyle w:val="Hyperlink"/>
          </w:rPr>
          <w:t>sociologist</w:t>
        </w:r>
      </w:hyperlink>
      <w:r>
        <w:t xml:space="preserve">, </w:t>
      </w:r>
      <w:hyperlink r:id="rId12" w:tooltip="Economist" w:history="1">
        <w:r>
          <w:rPr>
            <w:rStyle w:val="Hyperlink"/>
          </w:rPr>
          <w:t>economist</w:t>
        </w:r>
      </w:hyperlink>
      <w:r>
        <w:t xml:space="preserve">, political scientist and </w:t>
      </w:r>
      <w:hyperlink r:id="rId13" w:tooltip="Philosopher" w:history="1">
        <w:r>
          <w:rPr>
            <w:rStyle w:val="Hyperlink"/>
          </w:rPr>
          <w:t>philosopher</w:t>
        </w:r>
      </w:hyperlink>
      <w:r>
        <w:t>. He made several important contributions to economics, particularly in the study of income distribution and in the analysis of individuals' choices.”</w:t>
      </w:r>
    </w:p>
    <w:p w:rsidR="008F6C09" w:rsidRPr="0042706B" w:rsidRDefault="008F6C09" w:rsidP="008F6C09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Wikipedia</w:t>
      </w:r>
    </w:p>
    <w:p w:rsidR="0042706B" w:rsidRDefault="006D0A8A" w:rsidP="006D0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which can be used in Pareto analysis: number of defects, number of breakdowns, (total) length of the breakdowns.</w:t>
      </w:r>
    </w:p>
    <w:p w:rsidR="006D0A8A" w:rsidRDefault="006D0A8A" w:rsidP="006D0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06B" w:rsidRPr="0042706B" w:rsidRDefault="006D0A8A" w:rsidP="00D90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Scatter Plot: </w:t>
      </w:r>
      <w:r w:rsidR="00E239BA">
        <w:rPr>
          <w:rFonts w:ascii="Times New Roman" w:hAnsi="Times New Roman" w:cs="Times New Roman"/>
          <w:sz w:val="24"/>
          <w:szCs w:val="24"/>
        </w:rPr>
        <w:t>Shows relation between measured quantities.</w:t>
      </w:r>
      <w:r w:rsidR="00D906FC" w:rsidRPr="0042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6B" w:rsidRPr="0042706B" w:rsidRDefault="00E239BA" w:rsidP="00976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9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706B" w:rsidRDefault="0042706B" w:rsidP="009765CD">
      <w:pPr>
        <w:spacing w:after="0"/>
        <w:jc w:val="center"/>
        <w:rPr>
          <w:rFonts w:ascii="Times New Roman" w:hAnsi="Times New Roman" w:cs="Times New Roman"/>
        </w:rPr>
      </w:pPr>
    </w:p>
    <w:p w:rsidR="009765CD" w:rsidRDefault="00E239BA" w:rsidP="00E239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Cause-and-Effect Relationship: </w:t>
      </w:r>
      <w:r w:rsidR="009E0530">
        <w:rPr>
          <w:rFonts w:ascii="Times New Roman" w:hAnsi="Times New Roman" w:cs="Times New Roman"/>
        </w:rPr>
        <w:t>What is cause, what is effect? Are both of them effects?</w:t>
      </w:r>
    </w:p>
    <w:p w:rsidR="009E0530" w:rsidRDefault="009E0530" w:rsidP="00E239BA">
      <w:pPr>
        <w:spacing w:after="0"/>
        <w:jc w:val="both"/>
        <w:rPr>
          <w:rFonts w:ascii="Times New Roman" w:hAnsi="Times New Roman" w:cs="Times New Roman"/>
        </w:rPr>
      </w:pPr>
    </w:p>
    <w:p w:rsidR="009E0530" w:rsidRPr="002D0C71" w:rsidRDefault="009E0530" w:rsidP="00E239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Cause-and-Effect Diagram/Fishbone Diagram/Ishikawa Diagram</w:t>
      </w:r>
      <w:r w:rsidR="002D0C71">
        <w:rPr>
          <w:rFonts w:ascii="Times New Roman" w:hAnsi="Times New Roman" w:cs="Times New Roman"/>
          <w:b/>
        </w:rPr>
        <w:t xml:space="preserve">: </w:t>
      </w:r>
      <w:r w:rsidR="002D0C71">
        <w:rPr>
          <w:rFonts w:ascii="Times New Roman" w:hAnsi="Times New Roman" w:cs="Times New Roman"/>
        </w:rPr>
        <w:t>useful in locating the defect.</w:t>
      </w:r>
    </w:p>
    <w:p w:rsidR="009E0530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D0C71">
        <w:rPr>
          <w:rFonts w:ascii="Times New Roman" w:hAnsi="Times New Roman" w:cs="Times New Roman"/>
        </w:rPr>
        <w:t>se team to build</w:t>
      </w:r>
    </w:p>
    <w:p w:rsidR="002D0C71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Brainstorming: potential causes of defects, evaluation later.</w:t>
      </w:r>
    </w:p>
    <w:p w:rsidR="002D0C71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problem (statement) must be measurable.</w:t>
      </w:r>
    </w:p>
    <w:p w:rsidR="002D0C71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to 6 main categories.</w:t>
      </w:r>
    </w:p>
    <w:p w:rsidR="002D0C71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main categories the list of causes are on subbones or sub-subbones.</w:t>
      </w:r>
    </w:p>
    <w:p w:rsidR="002D0C71" w:rsidRDefault="002D0C71" w:rsidP="001605CA">
      <w:pPr>
        <w:pStyle w:val="ListParagraph"/>
        <w:numPr>
          <w:ilvl w:val="0"/>
          <w:numId w:val="1"/>
        </w:numPr>
        <w:spacing w:after="0"/>
        <w:ind w:lef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of most important causes:</w:t>
      </w:r>
    </w:p>
    <w:p w:rsidR="002D0C71" w:rsidRDefault="002D0C71" w:rsidP="002D0C7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Repeated items. Identification.</w:t>
      </w:r>
    </w:p>
    <w:p w:rsidR="002D0C71" w:rsidRDefault="002D0C71" w:rsidP="002D0C7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each cause and use “expert knowledge”.</w:t>
      </w:r>
    </w:p>
    <w:p w:rsidR="002D0C71" w:rsidRDefault="002D0C71" w:rsidP="002D0C7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consensus for the importance of causes.</w:t>
      </w:r>
    </w:p>
    <w:p w:rsidR="002D0C71" w:rsidRDefault="002D0C71" w:rsidP="002D0C71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Up-date.</w:t>
      </w:r>
    </w:p>
    <w:p w:rsidR="002D0C71" w:rsidRDefault="002D0C71" w:rsidP="002D0C71">
      <w:pPr>
        <w:spacing w:after="0"/>
        <w:jc w:val="both"/>
        <w:rPr>
          <w:rFonts w:ascii="Times New Roman" w:hAnsi="Times New Roman" w:cs="Times New Roman"/>
        </w:rPr>
      </w:pPr>
    </w:p>
    <w:p w:rsidR="002D0C71" w:rsidRPr="002D0C71" w:rsidRDefault="002D0C71" w:rsidP="002D0C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Flowchart. </w:t>
      </w:r>
      <w:proofErr w:type="gramStart"/>
      <w:r>
        <w:rPr>
          <w:rFonts w:ascii="Times New Roman" w:hAnsi="Times New Roman" w:cs="Times New Roman"/>
        </w:rPr>
        <w:t>(Already mentioned in the discussion of technology: omelet basic.)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Decisions and actions.</w:t>
      </w:r>
      <w:proofErr w:type="gramEnd"/>
      <w:r w:rsidR="00E32D28">
        <w:rPr>
          <w:rFonts w:ascii="Times New Roman" w:hAnsi="Times New Roman" w:cs="Times New Roman"/>
        </w:rPr>
        <w:t xml:space="preserve"> Instruction in the case of defect.</w:t>
      </w:r>
    </w:p>
    <w:sectPr w:rsidR="002D0C71" w:rsidRPr="002D0C71" w:rsidSect="0062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DDE"/>
    <w:multiLevelType w:val="hybridMultilevel"/>
    <w:tmpl w:val="DFEC0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A8C"/>
    <w:rsid w:val="001605CA"/>
    <w:rsid w:val="001A4ECE"/>
    <w:rsid w:val="001E4000"/>
    <w:rsid w:val="002D0C71"/>
    <w:rsid w:val="0039064E"/>
    <w:rsid w:val="0042706B"/>
    <w:rsid w:val="00446FE6"/>
    <w:rsid w:val="006278DE"/>
    <w:rsid w:val="00633A8C"/>
    <w:rsid w:val="0067090A"/>
    <w:rsid w:val="0069236D"/>
    <w:rsid w:val="006D0A8A"/>
    <w:rsid w:val="008F6C09"/>
    <w:rsid w:val="009765CD"/>
    <w:rsid w:val="009E0530"/>
    <w:rsid w:val="00B3432B"/>
    <w:rsid w:val="00BB038B"/>
    <w:rsid w:val="00D906FC"/>
    <w:rsid w:val="00E239BA"/>
    <w:rsid w:val="00E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A8C"/>
    <w:pPr>
      <w:ind w:left="720"/>
      <w:contextualSpacing/>
    </w:pPr>
  </w:style>
  <w:style w:type="character" w:customStyle="1" w:styleId="ipa">
    <w:name w:val="ipa"/>
    <w:basedOn w:val="DefaultParagraphFont"/>
    <w:rsid w:val="008F6C09"/>
  </w:style>
  <w:style w:type="character" w:styleId="Hyperlink">
    <w:name w:val="Hyperlink"/>
    <w:basedOn w:val="DefaultParagraphFont"/>
    <w:uiPriority w:val="99"/>
    <w:semiHidden/>
    <w:unhideWhenUsed/>
    <w:rsid w:val="008F6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en.wikipedia.org/wiki/Philosopher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en.wikipedia.org/wiki/Economis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Sociologi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Engineer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cat>
            <c:strRef>
              <c:f>Sheet4!$A$2:$A$12</c:f>
              <c:strCache>
                <c:ptCount val="11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More</c:v>
                </c:pt>
              </c:strCache>
            </c:strRef>
          </c:cat>
          <c:val>
            <c:numRef>
              <c:f>Sheet4!$B$2:$B$12</c:f>
              <c:numCache>
                <c:formatCode>General</c:formatCode>
                <c:ptCount val="11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84608"/>
        <c:axId val="44275584"/>
      </c:barChart>
      <c:catAx>
        <c:axId val="4408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44275584"/>
        <c:crosses val="autoZero"/>
        <c:auto val="1"/>
        <c:lblAlgn val="ctr"/>
        <c:lblOffset val="100"/>
        <c:noMultiLvlLbl val="0"/>
      </c:catAx>
      <c:valAx>
        <c:axId val="4427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84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cat>
            <c:strRef>
              <c:f>Sheet5!$A$2:$A$12</c:f>
              <c:strCache>
                <c:ptCount val="11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More</c:v>
                </c:pt>
              </c:strCache>
            </c:strRef>
          </c:cat>
          <c:val>
            <c:numRef>
              <c:f>Sheet5!$B$2:$B$12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909952"/>
        <c:axId val="78435072"/>
      </c:barChart>
      <c:catAx>
        <c:axId val="5490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78435072"/>
        <c:crosses val="autoZero"/>
        <c:auto val="1"/>
        <c:lblAlgn val="ctr"/>
        <c:lblOffset val="100"/>
        <c:noMultiLvlLbl val="0"/>
      </c:catAx>
      <c:valAx>
        <c:axId val="7843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909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Sheet7!$B$1</c:f>
              <c:strCache>
                <c:ptCount val="1"/>
                <c:pt idx="0">
                  <c:v>Frequency</c:v>
                </c:pt>
              </c:strCache>
            </c:strRef>
          </c:tx>
          <c:invertIfNegative val="0"/>
          <c:cat>
            <c:strRef>
              <c:f>Sheet7!$A$2:$A$13</c:f>
              <c:strCache>
                <c:ptCount val="12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</c:strCache>
            </c:strRef>
          </c:cat>
          <c:val>
            <c:numRef>
              <c:f>Sheet7!$B$2:$B$13</c:f>
              <c:numCache>
                <c:formatCode>General</c:formatCode>
                <c:ptCount val="12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335872"/>
        <c:axId val="90474368"/>
      </c:barChart>
      <c:catAx>
        <c:axId val="90335872"/>
        <c:scaling>
          <c:orientation val="minMax"/>
        </c:scaling>
        <c:delete val="0"/>
        <c:axPos val="l"/>
        <c:majorTickMark val="out"/>
        <c:minorTickMark val="none"/>
        <c:tickLblPos val="nextTo"/>
        <c:crossAx val="90474368"/>
        <c:crosses val="autoZero"/>
        <c:auto val="1"/>
        <c:lblAlgn val="ctr"/>
        <c:lblOffset val="100"/>
        <c:noMultiLvlLbl val="0"/>
      </c:catAx>
      <c:valAx>
        <c:axId val="90474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33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Cooling Time (hours)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3648538932633425"/>
                  <c:y val="-2.6956474190726158E-2"/>
                </c:manualLayout>
              </c:layout>
              <c:numFmt formatCode="General" sourceLinked="0"/>
            </c:trendlineLbl>
          </c:trendline>
          <c:xVal>
            <c:numRef>
              <c:f>Sheet3!$A$2:$A$49</c:f>
              <c:numCache>
                <c:formatCode>General</c:formatCode>
                <c:ptCount val="48"/>
                <c:pt idx="0">
                  <c:v>450</c:v>
                </c:pt>
                <c:pt idx="1">
                  <c:v>460</c:v>
                </c:pt>
                <c:pt idx="2">
                  <c:v>470</c:v>
                </c:pt>
                <c:pt idx="3">
                  <c:v>480</c:v>
                </c:pt>
                <c:pt idx="4">
                  <c:v>490</c:v>
                </c:pt>
                <c:pt idx="5">
                  <c:v>500</c:v>
                </c:pt>
                <c:pt idx="6">
                  <c:v>510</c:v>
                </c:pt>
                <c:pt idx="7">
                  <c:v>520</c:v>
                </c:pt>
                <c:pt idx="8">
                  <c:v>530</c:v>
                </c:pt>
                <c:pt idx="9">
                  <c:v>540</c:v>
                </c:pt>
                <c:pt idx="10">
                  <c:v>550</c:v>
                </c:pt>
                <c:pt idx="11">
                  <c:v>560</c:v>
                </c:pt>
                <c:pt idx="12">
                  <c:v>570</c:v>
                </c:pt>
                <c:pt idx="13">
                  <c:v>580</c:v>
                </c:pt>
                <c:pt idx="14">
                  <c:v>590</c:v>
                </c:pt>
                <c:pt idx="15">
                  <c:v>600</c:v>
                </c:pt>
                <c:pt idx="16">
                  <c:v>450</c:v>
                </c:pt>
                <c:pt idx="17">
                  <c:v>460</c:v>
                </c:pt>
                <c:pt idx="18">
                  <c:v>470</c:v>
                </c:pt>
                <c:pt idx="19">
                  <c:v>480</c:v>
                </c:pt>
                <c:pt idx="20">
                  <c:v>490</c:v>
                </c:pt>
                <c:pt idx="21">
                  <c:v>500</c:v>
                </c:pt>
                <c:pt idx="22">
                  <c:v>510</c:v>
                </c:pt>
                <c:pt idx="23">
                  <c:v>520</c:v>
                </c:pt>
                <c:pt idx="24">
                  <c:v>530</c:v>
                </c:pt>
                <c:pt idx="25">
                  <c:v>540</c:v>
                </c:pt>
                <c:pt idx="26">
                  <c:v>550</c:v>
                </c:pt>
                <c:pt idx="27">
                  <c:v>560</c:v>
                </c:pt>
                <c:pt idx="28">
                  <c:v>570</c:v>
                </c:pt>
                <c:pt idx="29">
                  <c:v>580</c:v>
                </c:pt>
                <c:pt idx="30">
                  <c:v>590</c:v>
                </c:pt>
                <c:pt idx="31">
                  <c:v>600</c:v>
                </c:pt>
                <c:pt idx="32">
                  <c:v>450</c:v>
                </c:pt>
                <c:pt idx="33">
                  <c:v>460</c:v>
                </c:pt>
                <c:pt idx="34">
                  <c:v>470</c:v>
                </c:pt>
                <c:pt idx="35">
                  <c:v>480</c:v>
                </c:pt>
                <c:pt idx="36">
                  <c:v>490</c:v>
                </c:pt>
                <c:pt idx="37">
                  <c:v>500</c:v>
                </c:pt>
                <c:pt idx="38">
                  <c:v>510</c:v>
                </c:pt>
                <c:pt idx="39">
                  <c:v>520</c:v>
                </c:pt>
                <c:pt idx="40">
                  <c:v>530</c:v>
                </c:pt>
                <c:pt idx="41">
                  <c:v>540</c:v>
                </c:pt>
                <c:pt idx="42">
                  <c:v>550</c:v>
                </c:pt>
                <c:pt idx="43">
                  <c:v>560</c:v>
                </c:pt>
                <c:pt idx="44">
                  <c:v>570</c:v>
                </c:pt>
                <c:pt idx="45">
                  <c:v>580</c:v>
                </c:pt>
                <c:pt idx="46">
                  <c:v>590</c:v>
                </c:pt>
                <c:pt idx="47">
                  <c:v>600</c:v>
                </c:pt>
              </c:numCache>
            </c:numRef>
          </c:xVal>
          <c:yVal>
            <c:numRef>
              <c:f>Sheet3!$B$2:$B$49</c:f>
              <c:numCache>
                <c:formatCode>0.00</c:formatCode>
                <c:ptCount val="48"/>
                <c:pt idx="0">
                  <c:v>21.861372254947987</c:v>
                </c:pt>
                <c:pt idx="1">
                  <c:v>20.290502849609926</c:v>
                </c:pt>
                <c:pt idx="2">
                  <c:v>25.301659900926843</c:v>
                </c:pt>
                <c:pt idx="3">
                  <c:v>24.500654295120963</c:v>
                </c:pt>
                <c:pt idx="4">
                  <c:v>27.697496828335122</c:v>
                </c:pt>
                <c:pt idx="5">
                  <c:v>25.321278580792303</c:v>
                </c:pt>
                <c:pt idx="6">
                  <c:v>25.161029989801321</c:v>
                </c:pt>
                <c:pt idx="7">
                  <c:v>27.251806003075721</c:v>
                </c:pt>
                <c:pt idx="8">
                  <c:v>31.341896469589855</c:v>
                </c:pt>
                <c:pt idx="9">
                  <c:v>32.680120525411184</c:v>
                </c:pt>
                <c:pt idx="10">
                  <c:v>30.546768687143011</c:v>
                </c:pt>
                <c:pt idx="11">
                  <c:v>34.309198295944057</c:v>
                </c:pt>
                <c:pt idx="12">
                  <c:v>32.614690247045701</c:v>
                </c:pt>
                <c:pt idx="13">
                  <c:v>35.266883110932504</c:v>
                </c:pt>
                <c:pt idx="14">
                  <c:v>34.522389107408621</c:v>
                </c:pt>
                <c:pt idx="15">
                  <c:v>35.084608351700268</c:v>
                </c:pt>
                <c:pt idx="16">
                  <c:v>19.086057793369207</c:v>
                </c:pt>
                <c:pt idx="17">
                  <c:v>21.973230631667203</c:v>
                </c:pt>
                <c:pt idx="18">
                  <c:v>21.065836274482212</c:v>
                </c:pt>
                <c:pt idx="19">
                  <c:v>22.992466082307455</c:v>
                </c:pt>
                <c:pt idx="20">
                  <c:v>27.091798808665889</c:v>
                </c:pt>
                <c:pt idx="21">
                  <c:v>24.043118009584543</c:v>
                </c:pt>
                <c:pt idx="22">
                  <c:v>29.667615609814966</c:v>
                </c:pt>
                <c:pt idx="23">
                  <c:v>26.603960672718145</c:v>
                </c:pt>
                <c:pt idx="24">
                  <c:v>30.538342303153325</c:v>
                </c:pt>
                <c:pt idx="25">
                  <c:v>29.770057983529004</c:v>
                </c:pt>
                <c:pt idx="26">
                  <c:v>30.804981433377673</c:v>
                </c:pt>
                <c:pt idx="27">
                  <c:v>32.443599753434519</c:v>
                </c:pt>
                <c:pt idx="28">
                  <c:v>32.659213541076561</c:v>
                </c:pt>
                <c:pt idx="29">
                  <c:v>33.73200786512632</c:v>
                </c:pt>
                <c:pt idx="30">
                  <c:v>37.566177993729653</c:v>
                </c:pt>
                <c:pt idx="31">
                  <c:v>36.562572442374865</c:v>
                </c:pt>
                <c:pt idx="32">
                  <c:v>20.193958783914233</c:v>
                </c:pt>
                <c:pt idx="33">
                  <c:v>23.929902424270388</c:v>
                </c:pt>
                <c:pt idx="34">
                  <c:v>25.878309213222281</c:v>
                </c:pt>
                <c:pt idx="35">
                  <c:v>23.055577628997575</c:v>
                </c:pt>
                <c:pt idx="36">
                  <c:v>27.335669619279273</c:v>
                </c:pt>
                <c:pt idx="37">
                  <c:v>24.451221539532373</c:v>
                </c:pt>
                <c:pt idx="38">
                  <c:v>26.195297025170184</c:v>
                </c:pt>
                <c:pt idx="39">
                  <c:v>29.593425465227352</c:v>
                </c:pt>
                <c:pt idx="40">
                  <c:v>27.756398406518709</c:v>
                </c:pt>
                <c:pt idx="41">
                  <c:v>28.610277423398742</c:v>
                </c:pt>
                <c:pt idx="42">
                  <c:v>32.034673454357659</c:v>
                </c:pt>
                <c:pt idx="43">
                  <c:v>34.8613116838075</c:v>
                </c:pt>
                <c:pt idx="44">
                  <c:v>32.643728767346516</c:v>
                </c:pt>
                <c:pt idx="45">
                  <c:v>36.610551152355391</c:v>
                </c:pt>
                <c:pt idx="46">
                  <c:v>37.271022354675537</c:v>
                </c:pt>
                <c:pt idx="47">
                  <c:v>38.835920763335793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964032"/>
        <c:axId val="35965568"/>
      </c:scatterChart>
      <c:valAx>
        <c:axId val="35964032"/>
        <c:scaling>
          <c:orientation val="minMax"/>
          <c:max val="610"/>
          <c:min val="440"/>
        </c:scaling>
        <c:delete val="0"/>
        <c:axPos val="b"/>
        <c:numFmt formatCode="General" sourceLinked="1"/>
        <c:majorTickMark val="out"/>
        <c:minorTickMark val="none"/>
        <c:tickLblPos val="nextTo"/>
        <c:crossAx val="35965568"/>
        <c:crosses val="autoZero"/>
        <c:crossBetween val="midCat"/>
      </c:valAx>
      <c:valAx>
        <c:axId val="35965568"/>
        <c:scaling>
          <c:orientation val="minMax"/>
          <c:min val="2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596403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F530A-4C16-4AAA-9B0D-4B59EA8CB23B}"/>
</file>

<file path=customXml/itemProps2.xml><?xml version="1.0" encoding="utf-8"?>
<ds:datastoreItem xmlns:ds="http://schemas.openxmlformats.org/officeDocument/2006/customXml" ds:itemID="{B6A77392-C883-4C4E-B17A-5083DAC65698}"/>
</file>

<file path=customXml/itemProps3.xml><?xml version="1.0" encoding="utf-8"?>
<ds:datastoreItem xmlns:ds="http://schemas.openxmlformats.org/officeDocument/2006/customXml" ds:itemID="{7ACBF69C-0FBA-49A6-88DD-65BEB3EFD207}"/>
</file>

<file path=customXml/itemProps4.xml><?xml version="1.0" encoding="utf-8"?>
<ds:datastoreItem xmlns:ds="http://schemas.openxmlformats.org/officeDocument/2006/customXml" ds:itemID="{0E74BECD-7439-4A6F-8C37-00656A2E4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Bela Vizvari</cp:lastModifiedBy>
  <cp:revision>6</cp:revision>
  <cp:lastPrinted>2017-12-18T10:00:00Z</cp:lastPrinted>
  <dcterms:created xsi:type="dcterms:W3CDTF">2013-04-26T07:03:00Z</dcterms:created>
  <dcterms:modified xsi:type="dcterms:W3CDTF">2017-12-18T10:46:00Z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